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olor w:val="auto"/>
          <w:sz w:val="28"/>
          <w:szCs w:val="28"/>
          <w:highlight w:val="none"/>
        </w:rPr>
      </w:pPr>
      <w:r>
        <w:rPr>
          <w:rFonts w:hint="eastAsia" w:ascii="宋体" w:hAnsi="宋体"/>
          <w:color w:val="auto"/>
          <w:sz w:val="28"/>
          <w:szCs w:val="28"/>
          <w:highlight w:val="none"/>
        </w:rPr>
        <w:t>项目编号：JSZC-321081-HWZX-G2023-0XXX</w:t>
      </w:r>
    </w:p>
    <w:p>
      <w:pPr>
        <w:jc w:val="right"/>
        <w:rPr>
          <w:rFonts w:ascii="宋体" w:hAnsi="宋体"/>
          <w:color w:val="auto"/>
          <w:sz w:val="28"/>
          <w:szCs w:val="28"/>
          <w:highlight w:val="none"/>
        </w:rPr>
      </w:pPr>
      <w:r>
        <w:rPr>
          <w:rFonts w:hint="eastAsia" w:ascii="宋体" w:hAnsi="宋体"/>
          <w:color w:val="auto"/>
          <w:sz w:val="28"/>
          <w:szCs w:val="28"/>
          <w:highlight w:val="none"/>
        </w:rPr>
        <w:t xml:space="preserve">                 采购代理编号：0675-236JOC003XXX</w:t>
      </w:r>
    </w:p>
    <w:p>
      <w:pPr>
        <w:jc w:val="center"/>
        <w:rPr>
          <w:rFonts w:ascii="宋体" w:hAnsi="宋体"/>
          <w:b/>
          <w:bCs/>
          <w:color w:val="auto"/>
          <w:sz w:val="44"/>
          <w:szCs w:val="44"/>
          <w:highlight w:val="none"/>
        </w:rPr>
      </w:pPr>
    </w:p>
    <w:p>
      <w:pPr>
        <w:jc w:val="center"/>
        <w:rPr>
          <w:rFonts w:ascii="宋体" w:hAnsi="宋体"/>
          <w:b/>
          <w:bCs/>
          <w:color w:val="auto"/>
          <w:sz w:val="44"/>
          <w:szCs w:val="44"/>
          <w:highlight w:val="none"/>
        </w:rPr>
      </w:pPr>
      <w:r>
        <w:rPr>
          <w:rFonts w:hint="eastAsia" w:ascii="宋体" w:hAnsi="宋体"/>
          <w:b/>
          <w:bCs/>
          <w:color w:val="auto"/>
          <w:sz w:val="44"/>
          <w:szCs w:val="44"/>
          <w:highlight w:val="none"/>
        </w:rPr>
        <w:t>仪征市中医院</w:t>
      </w:r>
    </w:p>
    <w:p>
      <w:pPr>
        <w:jc w:val="center"/>
        <w:rPr>
          <w:rFonts w:ascii="宋体" w:hAnsi="宋体"/>
          <w:color w:val="auto"/>
          <w:sz w:val="36"/>
          <w:highlight w:val="none"/>
        </w:rPr>
      </w:pPr>
    </w:p>
    <w:p>
      <w:pPr>
        <w:jc w:val="center"/>
        <w:rPr>
          <w:rFonts w:hint="eastAsia" w:ascii="宋体" w:hAnsi="宋体" w:eastAsia="宋体"/>
          <w:color w:val="auto"/>
          <w:sz w:val="36"/>
          <w:highlight w:val="none"/>
          <w:lang w:eastAsia="zh-CN"/>
        </w:rPr>
      </w:pPr>
      <w:r>
        <w:rPr>
          <w:rFonts w:hint="eastAsia" w:ascii="宋体" w:hAnsi="宋体"/>
          <w:b/>
          <w:bCs/>
          <w:color w:val="auto"/>
          <w:sz w:val="44"/>
          <w:szCs w:val="44"/>
          <w:highlight w:val="none"/>
          <w:lang w:eastAsia="zh-CN"/>
        </w:rPr>
        <w:t>3.0T核磁共振磁体升级及维保服务项目</w:t>
      </w:r>
    </w:p>
    <w:p>
      <w:pPr>
        <w:jc w:val="center"/>
        <w:rPr>
          <w:rFonts w:ascii="宋体" w:hAnsi="宋体"/>
          <w:b/>
          <w:bCs/>
          <w:color w:val="auto"/>
          <w:sz w:val="96"/>
          <w:szCs w:val="96"/>
          <w:highlight w:val="none"/>
        </w:rPr>
      </w:pPr>
    </w:p>
    <w:p>
      <w:pPr>
        <w:jc w:val="center"/>
        <w:rPr>
          <w:rFonts w:ascii="宋体" w:hAnsi="宋体"/>
          <w:color w:val="auto"/>
          <w:sz w:val="96"/>
          <w:szCs w:val="96"/>
          <w:highlight w:val="none"/>
        </w:rPr>
      </w:pPr>
      <w:r>
        <w:rPr>
          <w:rFonts w:hint="eastAsia" w:ascii="宋体" w:hAnsi="宋体"/>
          <w:b/>
          <w:bCs/>
          <w:color w:val="auto"/>
          <w:sz w:val="96"/>
          <w:szCs w:val="96"/>
          <w:highlight w:val="none"/>
        </w:rPr>
        <w:t>招标文件</w:t>
      </w:r>
      <w:bookmarkStart w:id="67" w:name="_GoBack"/>
      <w:bookmarkEnd w:id="67"/>
    </w:p>
    <w:p>
      <w:pPr>
        <w:pStyle w:val="10"/>
        <w:rPr>
          <w:color w:val="auto"/>
          <w:highlight w:val="none"/>
        </w:rPr>
      </w:pPr>
    </w:p>
    <w:p>
      <w:pPr>
        <w:rPr>
          <w:color w:val="auto"/>
          <w:highlight w:val="none"/>
        </w:rPr>
      </w:pPr>
    </w:p>
    <w:p>
      <w:pPr>
        <w:jc w:val="center"/>
        <w:rPr>
          <w:rFonts w:ascii="宋体" w:hAnsi="宋体"/>
          <w:b/>
          <w:bCs/>
          <w:color w:val="auto"/>
          <w:sz w:val="32"/>
          <w:szCs w:val="32"/>
          <w:highlight w:val="none"/>
        </w:rPr>
      </w:pPr>
    </w:p>
    <w:p>
      <w:pPr>
        <w:jc w:val="center"/>
        <w:rPr>
          <w:rFonts w:ascii="宋体" w:hAnsi="宋体"/>
          <w:b/>
          <w:bCs/>
          <w:color w:val="auto"/>
          <w:sz w:val="32"/>
          <w:szCs w:val="32"/>
          <w:highlight w:val="none"/>
        </w:r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采购人：仪征市中医院</w:t>
      </w:r>
    </w:p>
    <w:p>
      <w:pPr>
        <w:jc w:val="center"/>
        <w:rPr>
          <w:rFonts w:ascii="宋体" w:hAnsi="宋体"/>
          <w:b/>
          <w:bCs/>
          <w:color w:val="auto"/>
          <w:sz w:val="32"/>
          <w:szCs w:val="32"/>
          <w:highlight w:val="none"/>
        </w:rPr>
      </w:pPr>
    </w:p>
    <w:p>
      <w:pPr>
        <w:jc w:val="center"/>
        <w:rPr>
          <w:color w:val="auto"/>
          <w:sz w:val="32"/>
          <w:szCs w:val="32"/>
          <w:highlight w:val="none"/>
        </w:rPr>
      </w:pPr>
      <w:r>
        <w:rPr>
          <w:b/>
          <w:bCs/>
          <w:color w:val="auto"/>
          <w:sz w:val="32"/>
          <w:szCs w:val="32"/>
          <w:highlight w:val="none"/>
        </w:rPr>
        <w:t>采购代理机构： 江苏海外集团国际工程咨询有限公司</w:t>
      </w:r>
    </w:p>
    <w:p>
      <w:pPr>
        <w:jc w:val="center"/>
        <w:rPr>
          <w:rFonts w:ascii="宋体" w:hAnsi="宋体"/>
          <w:color w:val="auto"/>
          <w:sz w:val="32"/>
          <w:szCs w:val="32"/>
          <w:highlight w:val="none"/>
        </w:rPr>
      </w:pPr>
    </w:p>
    <w:p>
      <w:pPr>
        <w:jc w:val="center"/>
        <w:rPr>
          <w:rFonts w:ascii="宋体" w:hAnsi="宋体" w:cs="宋体"/>
          <w:color w:val="auto"/>
          <w:sz w:val="32"/>
          <w:szCs w:val="32"/>
          <w:highlight w:val="none"/>
        </w:rPr>
      </w:pPr>
      <w:r>
        <w:rPr>
          <w:rFonts w:ascii="宋体" w:hAnsi="宋体" w:cs="宋体"/>
          <w:b/>
          <w:bCs/>
          <w:color w:val="auto"/>
          <w:sz w:val="32"/>
          <w:szCs w:val="32"/>
          <w:highlight w:val="none"/>
        </w:rPr>
        <w:t>二零二三年</w:t>
      </w:r>
      <w:r>
        <w:rPr>
          <w:rFonts w:hint="eastAsia" w:ascii="宋体" w:hAnsi="宋体" w:cs="宋体"/>
          <w:b/>
          <w:bCs/>
          <w:color w:val="auto"/>
          <w:sz w:val="32"/>
          <w:szCs w:val="32"/>
          <w:highlight w:val="none"/>
        </w:rPr>
        <w:t>十一</w:t>
      </w:r>
      <w:r>
        <w:rPr>
          <w:rFonts w:ascii="宋体" w:hAnsi="宋体" w:cs="宋体"/>
          <w:b/>
          <w:bCs/>
          <w:color w:val="auto"/>
          <w:sz w:val="32"/>
          <w:szCs w:val="32"/>
          <w:highlight w:val="none"/>
        </w:rPr>
        <w:t>月</w:t>
      </w:r>
    </w:p>
    <w:p>
      <w:pPr>
        <w:rPr>
          <w:color w:val="auto"/>
          <w:highlight w:val="none"/>
        </w:rPr>
      </w:pPr>
      <w:r>
        <w:rPr>
          <w:color w:val="auto"/>
          <w:highlight w:val="none"/>
        </w:rPr>
        <w:br w:type="page"/>
      </w:r>
    </w:p>
    <w:p>
      <w:pPr>
        <w:jc w:val="center"/>
        <w:rPr>
          <w:rFonts w:ascii="宋体" w:hAnsi="宋体"/>
          <w:color w:val="auto"/>
          <w:sz w:val="32"/>
          <w:highlight w:val="none"/>
        </w:rPr>
      </w:pPr>
      <w:r>
        <w:rPr>
          <w:rFonts w:hint="eastAsia" w:ascii="宋体" w:hAnsi="宋体"/>
          <w:color w:val="auto"/>
          <w:sz w:val="32"/>
          <w:highlight w:val="none"/>
        </w:rPr>
        <w:t>目 录</w:t>
      </w:r>
    </w:p>
    <w:p>
      <w:pPr>
        <w:pStyle w:val="18"/>
        <w:tabs>
          <w:tab w:val="right" w:leader="dot" w:pos="8296"/>
        </w:tabs>
        <w:spacing w:line="360" w:lineRule="auto"/>
        <w:rPr>
          <w:color w:val="auto"/>
          <w:highlight w:val="none"/>
        </w:rPr>
      </w:pPr>
      <w:r>
        <w:rPr>
          <w:rFonts w:hint="eastAsia" w:ascii="宋体" w:hAnsi="宋体"/>
          <w:color w:val="auto"/>
          <w:sz w:val="28"/>
          <w:highlight w:val="none"/>
        </w:rPr>
        <w:fldChar w:fldCharType="begin"/>
      </w:r>
      <w:r>
        <w:rPr>
          <w:rFonts w:hint="eastAsia" w:ascii="宋体" w:hAnsi="宋体"/>
          <w:color w:val="auto"/>
          <w:sz w:val="28"/>
          <w:highlight w:val="none"/>
        </w:rPr>
        <w:instrText xml:space="preserve"> TOC \o "1-3" \f </w:instrText>
      </w:r>
      <w:r>
        <w:rPr>
          <w:rFonts w:hint="eastAsia" w:ascii="宋体" w:hAnsi="宋体"/>
          <w:color w:val="auto"/>
          <w:sz w:val="28"/>
          <w:highlight w:val="none"/>
        </w:rPr>
        <w:fldChar w:fldCharType="separate"/>
      </w:r>
      <w:r>
        <w:rPr>
          <w:rFonts w:hint="eastAsia" w:ascii="宋体" w:hAnsi="宋体"/>
          <w:color w:val="auto"/>
          <w:highlight w:val="none"/>
        </w:rPr>
        <w:t>第一章 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_Toc27125722 \h </w:instrText>
      </w:r>
      <w:r>
        <w:rPr>
          <w:rFonts w:hint="eastAsia"/>
          <w:color w:val="auto"/>
          <w:highlight w:val="none"/>
        </w:rPr>
        <w:fldChar w:fldCharType="separate"/>
      </w:r>
      <w:r>
        <w:rPr>
          <w:rFonts w:hint="eastAsia"/>
          <w:color w:val="auto"/>
          <w:highlight w:val="none"/>
        </w:rPr>
        <w:t>3</w:t>
      </w:r>
      <w:r>
        <w:rPr>
          <w:rFonts w:hint="eastAsia"/>
          <w:color w:val="auto"/>
          <w:highlight w:val="none"/>
        </w:rPr>
        <w:fldChar w:fldCharType="end"/>
      </w:r>
    </w:p>
    <w:p>
      <w:pPr>
        <w:pStyle w:val="18"/>
        <w:tabs>
          <w:tab w:val="right" w:leader="dot" w:pos="8296"/>
        </w:tabs>
        <w:spacing w:line="360" w:lineRule="auto"/>
        <w:rPr>
          <w:color w:val="auto"/>
          <w:highlight w:val="none"/>
        </w:rPr>
      </w:pPr>
      <w:r>
        <w:rPr>
          <w:rFonts w:hint="eastAsia" w:ascii="宋体" w:hAnsi="宋体"/>
          <w:color w:val="auto"/>
          <w:highlight w:val="none"/>
        </w:rPr>
        <w:t>第二章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_Toc27125723 \h </w:instrText>
      </w:r>
      <w:r>
        <w:rPr>
          <w:rFonts w:hint="eastAsia"/>
          <w:color w:val="auto"/>
          <w:highlight w:val="none"/>
        </w:rPr>
        <w:fldChar w:fldCharType="separate"/>
      </w:r>
      <w:r>
        <w:rPr>
          <w:rFonts w:hint="eastAsia"/>
          <w:color w:val="auto"/>
          <w:highlight w:val="none"/>
        </w:rPr>
        <w:t>7</w:t>
      </w:r>
      <w:r>
        <w:rPr>
          <w:rFonts w:hint="eastAsia"/>
          <w:color w:val="auto"/>
          <w:highlight w:val="none"/>
        </w:rPr>
        <w:fldChar w:fldCharType="end"/>
      </w:r>
    </w:p>
    <w:p>
      <w:pPr>
        <w:pStyle w:val="18"/>
        <w:tabs>
          <w:tab w:val="right" w:leader="dot" w:pos="8296"/>
        </w:tabs>
        <w:spacing w:line="360" w:lineRule="auto"/>
        <w:rPr>
          <w:color w:val="auto"/>
          <w:highlight w:val="none"/>
        </w:rPr>
      </w:pPr>
      <w:r>
        <w:rPr>
          <w:rFonts w:hint="eastAsia" w:ascii="宋体" w:hAnsi="宋体"/>
          <w:color w:val="auto"/>
          <w:highlight w:val="none"/>
        </w:rPr>
        <w:t>第三章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_Toc27125724 \h </w:instrText>
      </w:r>
      <w:r>
        <w:rPr>
          <w:rFonts w:hint="eastAsia"/>
          <w:color w:val="auto"/>
          <w:highlight w:val="none"/>
        </w:rPr>
        <w:fldChar w:fldCharType="separate"/>
      </w:r>
      <w:r>
        <w:rPr>
          <w:rFonts w:hint="eastAsia"/>
          <w:color w:val="auto"/>
          <w:highlight w:val="none"/>
        </w:rPr>
        <w:t>20</w:t>
      </w:r>
      <w:r>
        <w:rPr>
          <w:rFonts w:hint="eastAsia"/>
          <w:color w:val="auto"/>
          <w:highlight w:val="none"/>
        </w:rPr>
        <w:fldChar w:fldCharType="end"/>
      </w:r>
    </w:p>
    <w:p>
      <w:pPr>
        <w:pStyle w:val="18"/>
        <w:tabs>
          <w:tab w:val="right" w:leader="dot" w:pos="8296"/>
        </w:tabs>
        <w:spacing w:line="360" w:lineRule="auto"/>
        <w:rPr>
          <w:color w:val="auto"/>
          <w:highlight w:val="none"/>
        </w:rPr>
      </w:pPr>
      <w:r>
        <w:rPr>
          <w:rFonts w:hint="eastAsia"/>
          <w:color w:val="auto"/>
          <w:highlight w:val="none"/>
        </w:rPr>
        <w:t>第四章 项目需求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_Toc27125725 \h </w:instrText>
      </w:r>
      <w:r>
        <w:rPr>
          <w:rFonts w:hint="eastAsia"/>
          <w:color w:val="auto"/>
          <w:highlight w:val="none"/>
        </w:rPr>
        <w:fldChar w:fldCharType="separate"/>
      </w:r>
      <w:r>
        <w:rPr>
          <w:rFonts w:hint="eastAsia"/>
          <w:color w:val="auto"/>
          <w:highlight w:val="none"/>
        </w:rPr>
        <w:t>26</w:t>
      </w:r>
      <w:r>
        <w:rPr>
          <w:rFonts w:hint="eastAsia"/>
          <w:color w:val="auto"/>
          <w:highlight w:val="none"/>
        </w:rPr>
        <w:fldChar w:fldCharType="end"/>
      </w:r>
    </w:p>
    <w:p>
      <w:pPr>
        <w:pStyle w:val="18"/>
        <w:tabs>
          <w:tab w:val="right" w:leader="dot" w:pos="8296"/>
        </w:tabs>
        <w:spacing w:line="360" w:lineRule="auto"/>
        <w:rPr>
          <w:color w:val="auto"/>
          <w:highlight w:val="none"/>
        </w:rPr>
      </w:pPr>
      <w:r>
        <w:rPr>
          <w:rFonts w:hint="eastAsia" w:ascii="宋体" w:hAnsi="宋体"/>
          <w:color w:val="auto"/>
          <w:highlight w:val="none"/>
        </w:rPr>
        <w:t>第五章 评标方法及评标标准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_Toc27125726 \h </w:instrText>
      </w:r>
      <w:r>
        <w:rPr>
          <w:rFonts w:hint="eastAsia"/>
          <w:color w:val="auto"/>
          <w:highlight w:val="none"/>
        </w:rPr>
        <w:fldChar w:fldCharType="separate"/>
      </w:r>
      <w:r>
        <w:rPr>
          <w:rFonts w:hint="eastAsia"/>
          <w:color w:val="auto"/>
          <w:highlight w:val="none"/>
        </w:rPr>
        <w:t>52</w:t>
      </w:r>
      <w:r>
        <w:rPr>
          <w:rFonts w:hint="eastAsia"/>
          <w:color w:val="auto"/>
          <w:highlight w:val="none"/>
        </w:rPr>
        <w:fldChar w:fldCharType="end"/>
      </w:r>
    </w:p>
    <w:p>
      <w:pPr>
        <w:pStyle w:val="18"/>
        <w:tabs>
          <w:tab w:val="right" w:leader="dot" w:pos="8296"/>
        </w:tabs>
        <w:spacing w:line="360" w:lineRule="auto"/>
        <w:rPr>
          <w:color w:val="auto"/>
          <w:highlight w:val="none"/>
        </w:rPr>
      </w:pPr>
      <w:r>
        <w:rPr>
          <w:rFonts w:hint="eastAsia" w:ascii="宋体" w:hAnsi="宋体"/>
          <w:color w:val="auto"/>
          <w:highlight w:val="none"/>
        </w:rPr>
        <w:t>第六章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_Toc27125727 \h </w:instrText>
      </w:r>
      <w:r>
        <w:rPr>
          <w:rFonts w:hint="eastAsia"/>
          <w:color w:val="auto"/>
          <w:highlight w:val="none"/>
        </w:rPr>
        <w:fldChar w:fldCharType="separate"/>
      </w:r>
      <w:r>
        <w:rPr>
          <w:rFonts w:hint="eastAsia"/>
          <w:color w:val="auto"/>
          <w:highlight w:val="none"/>
        </w:rPr>
        <w:t>56</w:t>
      </w:r>
      <w:r>
        <w:rPr>
          <w:rFonts w:hint="eastAsia"/>
          <w:color w:val="auto"/>
          <w:highlight w:val="none"/>
        </w:rPr>
        <w:fldChar w:fldCharType="end"/>
      </w:r>
    </w:p>
    <w:p>
      <w:pPr>
        <w:spacing w:line="360" w:lineRule="auto"/>
        <w:rPr>
          <w:rFonts w:ascii="宋体" w:hAnsi="宋体"/>
          <w:color w:val="auto"/>
          <w:sz w:val="28"/>
          <w:highlight w:val="none"/>
        </w:rPr>
      </w:pPr>
      <w:r>
        <w:rPr>
          <w:rFonts w:hint="eastAsia" w:ascii="宋体" w:hAnsi="宋体"/>
          <w:color w:val="auto"/>
          <w:sz w:val="28"/>
          <w:highlight w:val="none"/>
        </w:rPr>
        <w:fldChar w:fldCharType="end"/>
      </w:r>
    </w:p>
    <w:p>
      <w:pPr>
        <w:rPr>
          <w:color w:val="auto"/>
          <w:highlight w:val="none"/>
        </w:rPr>
      </w:pPr>
      <w:r>
        <w:rPr>
          <w:rFonts w:hint="eastAsia" w:ascii="宋体" w:hAnsi="宋体"/>
          <w:color w:val="auto"/>
          <w:sz w:val="28"/>
          <w:highlight w:val="none"/>
        </w:rPr>
        <w:br w:type="page"/>
      </w:r>
    </w:p>
    <w:p>
      <w:pPr>
        <w:pStyle w:val="7"/>
        <w:jc w:val="center"/>
        <w:rPr>
          <w:rFonts w:ascii="宋体" w:hAnsi="宋体"/>
          <w:color w:val="auto"/>
          <w:szCs w:val="36"/>
          <w:highlight w:val="none"/>
        </w:rPr>
      </w:pPr>
      <w:bookmarkStart w:id="0" w:name="_Toc55204177"/>
      <w:r>
        <w:rPr>
          <w:rFonts w:hint="eastAsia" w:ascii="宋体" w:hAnsi="宋体"/>
          <w:color w:val="auto"/>
          <w:szCs w:val="36"/>
          <w:highlight w:val="none"/>
        </w:rPr>
        <w:t>第一章 招标公告</w:t>
      </w:r>
      <w:bookmarkEnd w:id="0"/>
    </w:p>
    <w:p>
      <w:pPr>
        <w:tabs>
          <w:tab w:val="left" w:pos="266"/>
        </w:tabs>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受</w:t>
      </w:r>
      <w:r>
        <w:rPr>
          <w:rFonts w:hint="eastAsia" w:ascii="宋体" w:hAnsi="宋体" w:cs="宋体"/>
          <w:color w:val="auto"/>
          <w:highlight w:val="none"/>
        </w:rPr>
        <w:t>仪征市中医院</w:t>
      </w:r>
      <w:r>
        <w:rPr>
          <w:rFonts w:hint="eastAsia" w:ascii="宋体" w:hAnsi="宋体" w:cs="宋体"/>
          <w:color w:val="auto"/>
          <w:highlight w:val="none"/>
        </w:rPr>
        <w:t>的委托，江苏海外集团国际工程咨询有限公司就</w:t>
      </w:r>
      <w:r>
        <w:rPr>
          <w:rFonts w:hint="eastAsia" w:ascii="宋体" w:hAnsi="宋体" w:cs="宋体"/>
          <w:color w:val="auto"/>
          <w:highlight w:val="none"/>
          <w:lang w:eastAsia="zh-CN"/>
        </w:rPr>
        <w:t>3.0T核磁共振磁体升级及维保服务项目</w:t>
      </w:r>
      <w:r>
        <w:rPr>
          <w:rFonts w:hint="eastAsia" w:ascii="宋体" w:hAnsi="宋体" w:cs="宋体"/>
          <w:color w:val="auto"/>
          <w:highlight w:val="none"/>
        </w:rPr>
        <w:t>进行公开招标采购，欢迎符合条件的供应商投标。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lang w:eastAsia="zh-CN"/>
        </w:rPr>
        <w:t>3.0T核磁共振磁体升级及维保服务</w:t>
      </w:r>
      <w:r>
        <w:rPr>
          <w:rFonts w:hint="eastAsia" w:ascii="宋体" w:hAnsi="宋体" w:cs="宋体"/>
          <w:color w:val="auto"/>
          <w:highlight w:val="none"/>
        </w:rPr>
        <w:t>招标项目的潜在投标人可在</w:t>
      </w:r>
      <w:r>
        <w:rPr>
          <w:rFonts w:hint="eastAsia" w:ascii="宋体" w:hAnsi="宋体" w:cs="宋体"/>
          <w:color w:val="auto"/>
          <w:highlight w:val="none"/>
          <w:u w:val="single"/>
        </w:rPr>
        <w:t>“仪征市政府采购网”、 “扬州市政府采购网”、“江苏省政府采购网”自行免费下载</w:t>
      </w:r>
      <w:r>
        <w:rPr>
          <w:rFonts w:hint="eastAsia" w:ascii="宋体" w:hAnsi="宋体" w:cs="宋体"/>
          <w:color w:val="auto"/>
          <w:highlight w:val="none"/>
        </w:rPr>
        <w:t>招标文件，并于</w:t>
      </w:r>
      <w:bookmarkStart w:id="1" w:name="XMTBJSR_1"/>
      <w:r>
        <w:rPr>
          <w:rFonts w:hint="eastAsia" w:ascii="宋体" w:hAnsi="宋体" w:cs="宋体"/>
          <w:color w:val="auto"/>
          <w:highlight w:val="none"/>
          <w:u w:val="single"/>
        </w:rPr>
        <w:t>2023年12月00日下午14时00分</w:t>
      </w:r>
      <w:bookmarkEnd w:id="1"/>
      <w:r>
        <w:rPr>
          <w:rFonts w:hint="eastAsia" w:ascii="宋体" w:hAnsi="宋体" w:cs="宋体"/>
          <w:bCs/>
          <w:color w:val="auto"/>
          <w:highlight w:val="none"/>
          <w:u w:val="single"/>
        </w:rPr>
        <w:t>（</w:t>
      </w:r>
      <w:r>
        <w:rPr>
          <w:rFonts w:hint="eastAsia" w:ascii="宋体" w:hAnsi="宋体" w:cs="宋体"/>
          <w:bCs/>
          <w:color w:val="auto"/>
          <w:highlight w:val="none"/>
        </w:rPr>
        <w:t>北京时间）前递交投标文件</w:t>
      </w:r>
      <w:r>
        <w:rPr>
          <w:rFonts w:hint="eastAsia" w:ascii="宋体" w:hAnsi="宋体" w:cs="宋体"/>
          <w:color w:val="auto"/>
          <w:highlight w:val="none"/>
        </w:rPr>
        <w:t>。</w:t>
      </w:r>
    </w:p>
    <w:p>
      <w:pPr>
        <w:tabs>
          <w:tab w:val="left" w:pos="266"/>
        </w:tabs>
        <w:spacing w:line="360" w:lineRule="auto"/>
        <w:rPr>
          <w:rFonts w:ascii="宋体" w:hAnsi="宋体" w:cs="宋体"/>
          <w:b/>
          <w:bCs/>
          <w:color w:val="auto"/>
          <w:highlight w:val="none"/>
        </w:rPr>
      </w:pPr>
      <w:bookmarkStart w:id="2" w:name="_Toc38985263"/>
      <w:bookmarkStart w:id="3" w:name="_Toc35393790"/>
      <w:bookmarkStart w:id="4" w:name="_Toc35393621"/>
      <w:bookmarkStart w:id="5" w:name="_Toc28359002"/>
      <w:bookmarkStart w:id="6" w:name="_Toc28359079"/>
      <w:bookmarkStart w:id="7" w:name="_Hlk24379207"/>
      <w:r>
        <w:rPr>
          <w:rFonts w:hint="eastAsia" w:ascii="宋体" w:hAnsi="宋体" w:cs="宋体"/>
          <w:b/>
          <w:bCs/>
          <w:color w:val="auto"/>
          <w:highlight w:val="none"/>
        </w:rPr>
        <w:t>一、项目基本情况</w:t>
      </w:r>
      <w:bookmarkEnd w:id="2"/>
      <w:bookmarkEnd w:id="3"/>
      <w:bookmarkEnd w:id="4"/>
      <w:bookmarkEnd w:id="5"/>
      <w:bookmarkEnd w:id="6"/>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1.项目编号：JSZC-321081-HWZX-G2023-0XXX，采购代理编号：0675-236JOC003XXX</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3.0T核磁共振磁体升级及维保服务</w:t>
      </w:r>
    </w:p>
    <w:bookmarkEnd w:id="7"/>
    <w:p>
      <w:pPr>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3.预算金额：520万元</w:t>
      </w:r>
    </w:p>
    <w:p>
      <w:pPr>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4.本项目设置最高限价，同上。</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5.采购需求：见招标文件第四章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6.合同履行期限：见招标文件第四章</w:t>
      </w:r>
    </w:p>
    <w:p>
      <w:pPr>
        <w:spacing w:line="360" w:lineRule="auto"/>
        <w:ind w:firstLine="420" w:firstLineChars="200"/>
        <w:rPr>
          <w:color w:val="auto"/>
          <w:highlight w:val="none"/>
        </w:rPr>
      </w:pPr>
      <w:r>
        <w:rPr>
          <w:rFonts w:hint="eastAsia" w:ascii="宋体" w:hAnsi="宋体" w:cs="宋体"/>
          <w:color w:val="auto"/>
          <w:highlight w:val="none"/>
        </w:rPr>
        <w:t>7.本项目不接受联合体投标</w:t>
      </w:r>
      <w:r>
        <w:rPr>
          <w:rFonts w:hint="eastAsia" w:ascii="宋体" w:hAnsi="宋体" w:cs="宋体"/>
          <w:color w:val="auto"/>
          <w:highlight w:val="none"/>
        </w:rPr>
        <w:t>。</w:t>
      </w:r>
    </w:p>
    <w:p>
      <w:pPr>
        <w:tabs>
          <w:tab w:val="left" w:pos="266"/>
        </w:tabs>
        <w:spacing w:line="360" w:lineRule="auto"/>
        <w:rPr>
          <w:rFonts w:ascii="宋体" w:hAnsi="宋体" w:cs="宋体"/>
          <w:b/>
          <w:bCs/>
          <w:color w:val="auto"/>
          <w:highlight w:val="none"/>
        </w:rPr>
      </w:pPr>
      <w:bookmarkStart w:id="8" w:name="_Toc35393622"/>
      <w:bookmarkStart w:id="9" w:name="_Toc35393791"/>
      <w:bookmarkStart w:id="10" w:name="_Toc28359080"/>
      <w:bookmarkStart w:id="11" w:name="_Toc38985264"/>
      <w:bookmarkStart w:id="12" w:name="_Toc28359003"/>
      <w:r>
        <w:rPr>
          <w:rFonts w:hint="eastAsia" w:ascii="宋体" w:hAnsi="宋体" w:cs="宋体"/>
          <w:b/>
          <w:bCs/>
          <w:color w:val="auto"/>
          <w:highlight w:val="none"/>
        </w:rPr>
        <w:t>二、申请人的资格要求：</w:t>
      </w:r>
      <w:bookmarkEnd w:id="8"/>
      <w:bookmarkEnd w:id="9"/>
      <w:bookmarkEnd w:id="10"/>
      <w:bookmarkEnd w:id="11"/>
      <w:bookmarkEnd w:id="12"/>
    </w:p>
    <w:p>
      <w:pPr>
        <w:spacing w:line="360" w:lineRule="auto"/>
        <w:ind w:firstLine="420" w:firstLineChars="200"/>
        <w:rPr>
          <w:rFonts w:ascii="宋体" w:hAnsi="宋体" w:cs="宋体"/>
          <w:color w:val="auto"/>
          <w:szCs w:val="21"/>
          <w:highlight w:val="none"/>
        </w:rPr>
      </w:pPr>
      <w:bookmarkStart w:id="13" w:name="_Toc38985265"/>
      <w:bookmarkStart w:id="14" w:name="_Toc28359004"/>
      <w:bookmarkStart w:id="15" w:name="_Toc35393792"/>
      <w:bookmarkStart w:id="16" w:name="_Toc28359081"/>
      <w:bookmarkStart w:id="17" w:name="_Toc35393623"/>
      <w:r>
        <w:rPr>
          <w:rFonts w:hint="eastAsia" w:ascii="宋体" w:hAnsi="宋体" w:cs="宋体"/>
          <w:color w:val="auto"/>
          <w:szCs w:val="21"/>
          <w:highlight w:val="none"/>
        </w:rPr>
        <w:t>1.满足《中华人民共和国政府采购法》第二十二条规定，并提供下列材料：</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1.1法人或者其他组织的营业执照等证明文件，自然人的身份证明</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1.2 依法缴纳职工社会保障资金的证明材料</w:t>
      </w:r>
      <w:r>
        <w:rPr>
          <w:rFonts w:hint="eastAsia" w:ascii="宋体" w:hAnsi="宋体" w:cs="宋体"/>
          <w:b/>
          <w:bCs/>
          <w:i/>
          <w:iCs/>
          <w:color w:val="auto"/>
          <w:szCs w:val="21"/>
          <w:highlight w:val="none"/>
          <w:u w:val="single"/>
        </w:rPr>
        <w:t>(税务、银行或社会保险基金管理部门出具的近三个月内任意一个月缴纳职工社会保障资金的缴款凭证或缴款证明)（投标人依法享受缓缴、免缴的提供证明材料）</w:t>
      </w:r>
    </w:p>
    <w:p>
      <w:pPr>
        <w:spacing w:line="360" w:lineRule="auto"/>
        <w:ind w:firstLine="420" w:firstLineChars="200"/>
        <w:rPr>
          <w:rFonts w:ascii="宋体" w:hAnsi="宋体"/>
          <w:b/>
          <w:bCs/>
          <w:i/>
          <w:iCs/>
          <w:color w:val="auto"/>
          <w:highlight w:val="none"/>
          <w:u w:val="single"/>
        </w:rPr>
      </w:pPr>
      <w:r>
        <w:rPr>
          <w:rFonts w:hint="eastAsia" w:ascii="宋体" w:hAnsi="宋体" w:cs="宋体"/>
          <w:i/>
          <w:iCs/>
          <w:color w:val="auto"/>
          <w:szCs w:val="21"/>
          <w:highlight w:val="none"/>
          <w:u w:val="single"/>
        </w:rPr>
        <w:t>1.3 投标人近三个月内任意一份依法纳税的缴款凭证</w:t>
      </w:r>
      <w:r>
        <w:rPr>
          <w:rFonts w:hint="eastAsia" w:ascii="宋体" w:hAnsi="宋体" w:cs="宋体"/>
          <w:b/>
          <w:bCs/>
          <w:i/>
          <w:iCs/>
          <w:color w:val="auto"/>
          <w:szCs w:val="21"/>
          <w:highlight w:val="none"/>
          <w:u w:val="single"/>
        </w:rPr>
        <w:t>（即2023年9月-2023年11月期间)投标人依法享受缓缴、免缴的提供证明材料）</w:t>
      </w:r>
    </w:p>
    <w:p>
      <w:pPr>
        <w:spacing w:line="360" w:lineRule="auto"/>
        <w:ind w:firstLine="420" w:firstLineChars="200"/>
        <w:rPr>
          <w:rFonts w:ascii="宋体" w:hAnsi="宋体" w:cs="宋体"/>
          <w:b/>
          <w:bCs/>
          <w:i/>
          <w:iCs/>
          <w:color w:val="auto"/>
          <w:szCs w:val="21"/>
          <w:highlight w:val="none"/>
          <w:u w:val="single"/>
        </w:rPr>
      </w:pPr>
      <w:r>
        <w:rPr>
          <w:rFonts w:hint="eastAsia" w:ascii="宋体" w:hAnsi="宋体" w:cs="宋体"/>
          <w:i/>
          <w:iCs/>
          <w:color w:val="auto"/>
          <w:szCs w:val="21"/>
          <w:highlight w:val="none"/>
          <w:u w:val="single"/>
        </w:rPr>
        <w:t>1.4 上一年度的财务报告情况（</w:t>
      </w:r>
      <w:r>
        <w:rPr>
          <w:rFonts w:hint="eastAsia" w:ascii="宋体" w:hAnsi="宋体" w:cs="宋体"/>
          <w:b/>
          <w:bCs/>
          <w:i/>
          <w:iCs/>
          <w:color w:val="auto"/>
          <w:szCs w:val="21"/>
          <w:highlight w:val="none"/>
          <w:u w:val="single"/>
        </w:rPr>
        <w:t>成立不满一年不需提供）</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1.5 具备履行合同所必需的设备和专业技术能力的证明材料</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1.6 参加本次政府采购活动前3年内在经营活动中没有重大违法记录的书面声明</w:t>
      </w:r>
    </w:p>
    <w:p>
      <w:pPr>
        <w:spacing w:line="360" w:lineRule="auto"/>
        <w:ind w:firstLine="420" w:firstLineChars="200"/>
        <w:rPr>
          <w:rFonts w:ascii="宋体" w:hAnsi="宋体" w:cs="宋体"/>
          <w:b/>
          <w:bCs/>
          <w:i/>
          <w:iCs/>
          <w:color w:val="auto"/>
          <w:szCs w:val="21"/>
          <w:highlight w:val="none"/>
          <w:u w:val="single"/>
        </w:rPr>
      </w:pPr>
      <w:r>
        <w:rPr>
          <w:rFonts w:hint="eastAsia" w:ascii="宋体" w:hAnsi="宋体" w:cs="宋体"/>
          <w:i/>
          <w:iCs/>
          <w:color w:val="auto"/>
          <w:szCs w:val="21"/>
          <w:highlight w:val="none"/>
          <w:u w:val="single"/>
        </w:rPr>
        <w:t>1.7 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p>
      <w:pPr>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2.落实政府采购政策需满足的资格要求：</w:t>
      </w:r>
    </w:p>
    <w:p>
      <w:pPr>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2.1本项目属于服务类采购。根据《政府采购促进中小企业发展管理办法》（财库〔2020〕46号）、《关于做好政府采购支持企业发展有关事项的通知》(苏财购(2020)52号)的要求，本项目小型、微型企业在评标时享受扶持政策。所称小型、微型企业须满足《政府采购促进中小企业发展管理办法》（财库〔2020〕46号）第二条和第四条的规定，采购服务由中小企业承接，即提供服务的人员为中小企业依照《中华人民共和国劳动合同法》订立劳动合同的从业人员。（投标人必须提供中小企业声明函（见格式））</w:t>
      </w:r>
    </w:p>
    <w:p>
      <w:pPr>
        <w:adjustRightInd w:val="0"/>
        <w:snapToGrid w:val="0"/>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 xml:space="preserve">2.2中小微企业划型标准请对照《关于印发中小企业划型标准规定的通知》（工信部联企业〔2011〕300号）（详见格式）。本项目采购标的对应的行业主要为其他未列明行业。 </w:t>
      </w:r>
    </w:p>
    <w:p>
      <w:pPr>
        <w:spacing w:line="360" w:lineRule="auto"/>
        <w:ind w:firstLine="422" w:firstLineChars="200"/>
        <w:rPr>
          <w:rFonts w:ascii="宋体" w:hAnsi="宋体" w:cs="宋体"/>
          <w:b/>
          <w:bCs/>
          <w:i/>
          <w:iCs/>
          <w:color w:val="auto"/>
          <w:szCs w:val="21"/>
          <w:highlight w:val="none"/>
        </w:rPr>
      </w:pPr>
      <w:r>
        <w:rPr>
          <w:rFonts w:hint="eastAsia" w:ascii="宋体" w:hAnsi="宋体" w:cs="宋体"/>
          <w:b/>
          <w:bCs/>
          <w:i/>
          <w:iCs/>
          <w:color w:val="auto"/>
          <w:szCs w:val="21"/>
          <w:highlight w:val="none"/>
        </w:rPr>
        <w:t>3、本项目的特定资格要求：</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3.1中华人民共和国实行安装安全认可证，制造、经营许可，强制性认证、准入证制度的产品、行业，必须提供中华人民共和国有关部门颁发的资质证明文件。</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i/>
          <w:iCs/>
          <w:color w:val="auto"/>
          <w:szCs w:val="21"/>
          <w:highlight w:val="none"/>
          <w:u w:val="single"/>
        </w:rPr>
        <w:t>3.2 供应商信用承诺函。</w:t>
      </w:r>
    </w:p>
    <w:p>
      <w:pPr>
        <w:pBdr>
          <w:top w:val="none" w:color="000000" w:sz="0" w:space="0"/>
          <w:left w:val="none" w:color="000000" w:sz="0" w:space="0"/>
          <w:bottom w:val="none" w:color="000000" w:sz="0" w:space="0"/>
          <w:right w:val="none" w:color="000000" w:sz="0" w:space="0"/>
        </w:pBdr>
        <w:spacing w:line="360" w:lineRule="auto"/>
        <w:ind w:firstLine="482"/>
        <w:rPr>
          <w:color w:val="auto"/>
          <w:highlight w:val="none"/>
        </w:rPr>
      </w:pPr>
      <w:r>
        <w:rPr>
          <w:rFonts w:ascii="宋体" w:hAnsi="宋体" w:cs="宋体"/>
          <w:b/>
          <w:i/>
          <w:iCs/>
          <w:color w:val="auto"/>
          <w:sz w:val="24"/>
          <w:highlight w:val="none"/>
          <w:u w:val="single"/>
        </w:rPr>
        <w:t>注：采购人、采购代理机构、供应商实际控制人为同一人或者存在直接控股、管理关系的，不得参加同一合同项下的采购活动。采购代理机构及其分支机构不得在所代理的招标项目中投标或代理投标。</w:t>
      </w:r>
    </w:p>
    <w:p>
      <w:pPr>
        <w:tabs>
          <w:tab w:val="left" w:pos="266"/>
        </w:tabs>
        <w:spacing w:line="360" w:lineRule="auto"/>
        <w:rPr>
          <w:rFonts w:ascii="宋体" w:hAnsi="宋体" w:cs="宋体"/>
          <w:b/>
          <w:bCs/>
          <w:color w:val="auto"/>
          <w:highlight w:val="none"/>
        </w:rPr>
      </w:pPr>
      <w:r>
        <w:rPr>
          <w:rFonts w:hint="eastAsia" w:ascii="宋体" w:hAnsi="宋体" w:cs="宋体"/>
          <w:b/>
          <w:bCs/>
          <w:color w:val="auto"/>
          <w:highlight w:val="none"/>
        </w:rPr>
        <w:t>三、获取招标文件</w:t>
      </w:r>
      <w:bookmarkEnd w:id="13"/>
      <w:bookmarkEnd w:id="14"/>
      <w:bookmarkEnd w:id="15"/>
      <w:bookmarkEnd w:id="16"/>
      <w:bookmarkEnd w:id="17"/>
    </w:p>
    <w:p>
      <w:pPr>
        <w:spacing w:line="360" w:lineRule="auto"/>
        <w:ind w:firstLine="540"/>
        <w:rPr>
          <w:rFonts w:ascii="宋体" w:hAnsi="宋体" w:cs="宋体"/>
          <w:color w:val="auto"/>
          <w:kern w:val="0"/>
          <w:highlight w:val="none"/>
        </w:rPr>
      </w:pPr>
      <w:bookmarkStart w:id="18" w:name="_Toc28359082"/>
      <w:bookmarkStart w:id="19" w:name="_Toc28359005"/>
      <w:bookmarkStart w:id="20" w:name="_Toc35393793"/>
      <w:bookmarkStart w:id="21" w:name="_Toc38985266"/>
      <w:bookmarkStart w:id="22" w:name="_Toc35393624"/>
      <w:r>
        <w:rPr>
          <w:rFonts w:hint="eastAsia" w:ascii="宋体" w:hAnsi="宋体" w:cs="宋体"/>
          <w:color w:val="auto"/>
          <w:highlight w:val="none"/>
        </w:rPr>
        <w:t>1.时间：自招标文件公告发布之日起5个工作日。5个工作日后仍可下载招标文件，但不作为供应商权益受到损害的证明材料和依据。</w:t>
      </w:r>
    </w:p>
    <w:p>
      <w:pPr>
        <w:spacing w:line="360" w:lineRule="auto"/>
        <w:ind w:firstLine="540"/>
        <w:rPr>
          <w:rFonts w:ascii="宋体" w:hAnsi="宋体"/>
          <w:b/>
          <w:bCs/>
          <w:color w:val="auto"/>
          <w:sz w:val="24"/>
          <w:szCs w:val="24"/>
          <w:highlight w:val="none"/>
        </w:rPr>
      </w:pPr>
      <w:r>
        <w:rPr>
          <w:rFonts w:hint="eastAsia" w:ascii="宋体" w:hAnsi="宋体" w:cs="宋体"/>
          <w:b/>
          <w:bCs/>
          <w:color w:val="auto"/>
          <w:highlight w:val="none"/>
        </w:rPr>
        <w:t>2.获取方式：</w:t>
      </w:r>
      <w:r>
        <w:rPr>
          <w:rFonts w:hint="eastAsia" w:ascii="宋体" w:hAnsi="宋体"/>
          <w:b/>
          <w:bCs/>
          <w:color w:val="auto"/>
          <w:szCs w:val="21"/>
          <w:highlight w:val="none"/>
        </w:rPr>
        <w:t>本项目采用网上注册登记方式。</w:t>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3.潜在供应商访问政府采购管理交易系统（苏采云）的网络地址和方法：</w:t>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1）潜在供应商访问政府采购管理交易系统（苏采云）的方法：“苏采云”系统用户注册--获取“CA数字证书”--CA绑定与登录--网上报名--下载招标文件（后缀名为“.kedt”）--将后缀名为“.kedt”的招标文件导入政府采购客户端工具--制作投标文件--导出加密的投标文件（后缀名为zip）--通过“苏采云”系统上传投标文件。</w:t>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（2）“CA数字证书”的获取：供应商需办理CA锁，“苏采云”系统目前仅支持“苏采云”系统下的政务CA，省内各地区办理的“苏采云”系统下的政务CA全省通用。</w:t>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（3）“CA数字证书”的办理材料以及供应商操作手册详见：</w:t>
      </w:r>
      <w:r>
        <w:rPr>
          <w:color w:val="auto"/>
          <w:highlight w:val="none"/>
        </w:rPr>
        <w:fldChar w:fldCharType="begin"/>
      </w:r>
      <w:r>
        <w:rPr>
          <w:color w:val="auto"/>
          <w:highlight w:val="none"/>
        </w:rPr>
        <w:instrText xml:space="preserve"> HYPERLINK "http://zfcg.yangzhou.gov.cn/zfcg/xzzx/202309/4d7de1f7865f4a2894fc22bc452f94d8.shtml。" </w:instrText>
      </w:r>
      <w:r>
        <w:rPr>
          <w:color w:val="auto"/>
          <w:highlight w:val="none"/>
        </w:rPr>
        <w:fldChar w:fldCharType="separate"/>
      </w:r>
      <w:r>
        <w:rPr>
          <w:rStyle w:val="24"/>
          <w:rFonts w:hint="eastAsia" w:ascii="宋体" w:hAnsi="宋体" w:cs="宋体"/>
          <w:b/>
          <w:bCs/>
          <w:color w:val="auto"/>
          <w:highlight w:val="none"/>
        </w:rPr>
        <w:t>http://zfcg.yangzhou.gov.cn/zfcg/xzzx/202309/4d7de1f7865f4a2894fc22bc452f94d8.shtml。</w:t>
      </w:r>
      <w:r>
        <w:rPr>
          <w:rStyle w:val="24"/>
          <w:rFonts w:hint="eastAsia" w:ascii="宋体" w:hAnsi="宋体" w:cs="宋体"/>
          <w:b/>
          <w:bCs/>
          <w:color w:val="auto"/>
          <w:highlight w:val="none"/>
        </w:rPr>
        <w:fldChar w:fldCharType="end"/>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（4）潜在供应商访问“苏采云”系统的网络地址和方法：“苏采云”系统的网址：</w:t>
      </w:r>
      <w:r>
        <w:rPr>
          <w:color w:val="auto"/>
          <w:highlight w:val="none"/>
        </w:rPr>
        <w:fldChar w:fldCharType="begin"/>
      </w:r>
      <w:r>
        <w:rPr>
          <w:color w:val="auto"/>
          <w:highlight w:val="none"/>
        </w:rPr>
        <w:instrText xml:space="preserve"> HYPERLINK "http://jszfcg.jsczt.cn/。" </w:instrText>
      </w:r>
      <w:r>
        <w:rPr>
          <w:color w:val="auto"/>
          <w:highlight w:val="none"/>
        </w:rPr>
        <w:fldChar w:fldCharType="separate"/>
      </w:r>
      <w:r>
        <w:rPr>
          <w:rStyle w:val="24"/>
          <w:rFonts w:hint="eastAsia" w:ascii="宋体" w:hAnsi="宋体" w:cs="宋体"/>
          <w:b/>
          <w:bCs/>
          <w:color w:val="auto"/>
          <w:highlight w:val="none"/>
        </w:rPr>
        <w:t>http://jszfcg.jsczt.cn/。</w:t>
      </w:r>
      <w:r>
        <w:rPr>
          <w:rStyle w:val="24"/>
          <w:rFonts w:hint="eastAsia" w:ascii="宋体" w:hAnsi="宋体" w:cs="宋体"/>
          <w:b/>
          <w:bCs/>
          <w:color w:val="auto"/>
          <w:highlight w:val="none"/>
        </w:rPr>
        <w:fldChar w:fldCharType="end"/>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（5）招标文件（后缀名为“.kedt”）、供应商操作手册及政府采购客户端工具也可通过“苏采云”系统--已报名项目--报名详情页面内相应链接进行下载。</w:t>
      </w:r>
    </w:p>
    <w:p>
      <w:pPr>
        <w:spacing w:line="360" w:lineRule="auto"/>
        <w:ind w:firstLine="540"/>
        <w:rPr>
          <w:rFonts w:ascii="宋体" w:hAnsi="宋体" w:cs="宋体"/>
          <w:b/>
          <w:bCs/>
          <w:color w:val="auto"/>
          <w:highlight w:val="none"/>
        </w:rPr>
      </w:pPr>
      <w:r>
        <w:rPr>
          <w:rFonts w:hint="eastAsia" w:ascii="宋体" w:hAnsi="宋体" w:cs="宋体"/>
          <w:b/>
          <w:bCs/>
          <w:color w:val="auto"/>
          <w:highlight w:val="none"/>
        </w:rPr>
        <w:t>（6）招标代理机构（采购代理机构）将数据电文形式的招标文件加载至“苏采云”系统，供潜在供应商下载或者查阅。     </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b/>
          <w:bCs/>
          <w:color w:val="auto"/>
          <w:sz w:val="24"/>
          <w:szCs w:val="24"/>
          <w:highlight w:val="none"/>
        </w:rPr>
      </w:pPr>
      <w:r>
        <w:rPr>
          <w:rFonts w:hint="eastAsia" w:ascii="宋体" w:hAnsi="宋体" w:cs="宋体"/>
          <w:b/>
          <w:bCs/>
          <w:color w:val="auto"/>
          <w:highlight w:val="none"/>
        </w:rPr>
        <w:t>（7）苏采云系统使用谷歌浏览器参与不见面开标。</w:t>
      </w:r>
    </w:p>
    <w:p>
      <w:pPr>
        <w:tabs>
          <w:tab w:val="left" w:pos="266"/>
        </w:tabs>
        <w:spacing w:line="360" w:lineRule="auto"/>
        <w:rPr>
          <w:rFonts w:ascii="宋体" w:hAnsi="宋体" w:cs="宋体"/>
          <w:b/>
          <w:bCs/>
          <w:color w:val="auto"/>
          <w:highlight w:val="none"/>
        </w:rPr>
      </w:pPr>
      <w:r>
        <w:rPr>
          <w:rFonts w:hint="eastAsia" w:ascii="宋体" w:hAnsi="宋体" w:cs="宋体"/>
          <w:b/>
          <w:bCs/>
          <w:color w:val="auto"/>
          <w:highlight w:val="none"/>
        </w:rPr>
        <w:t>四、提交投标文件</w:t>
      </w:r>
      <w:bookmarkEnd w:id="18"/>
      <w:bookmarkEnd w:id="19"/>
      <w:r>
        <w:rPr>
          <w:rFonts w:hint="eastAsia" w:ascii="宋体" w:hAnsi="宋体" w:cs="宋体"/>
          <w:b/>
          <w:bCs/>
          <w:color w:val="auto"/>
          <w:highlight w:val="none"/>
        </w:rPr>
        <w:t>截止时间、开标时间和地点</w:t>
      </w:r>
      <w:bookmarkEnd w:id="20"/>
      <w:bookmarkEnd w:id="21"/>
      <w:bookmarkEnd w:id="22"/>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highlight w:val="none"/>
        </w:rPr>
        <w:t>1.时间：</w:t>
      </w:r>
      <w:r>
        <w:rPr>
          <w:rFonts w:hint="eastAsia" w:ascii="宋体" w:hAnsi="宋体" w:cs="宋体"/>
          <w:color w:val="auto"/>
          <w:highlight w:val="none"/>
          <w:u w:val="single"/>
        </w:rPr>
        <w:t>2023年12月00日下午14时00分</w:t>
      </w:r>
      <w:r>
        <w:rPr>
          <w:rFonts w:hint="eastAsia" w:ascii="宋体" w:hAnsi="宋体" w:cs="宋体"/>
          <w:color w:val="auto"/>
          <w:highlight w:val="none"/>
        </w:rPr>
        <w:t>（北京时间）</w:t>
      </w:r>
    </w:p>
    <w:p>
      <w:pPr>
        <w:spacing w:line="360" w:lineRule="auto"/>
        <w:ind w:firstLine="420" w:firstLineChars="200"/>
        <w:rPr>
          <w:rFonts w:ascii="宋体" w:hAnsi="宋体" w:cs="宋体"/>
          <w:bCs/>
          <w:color w:val="auto"/>
          <w:highlight w:val="none"/>
          <w:u w:val="single"/>
        </w:rPr>
      </w:pPr>
      <w:r>
        <w:rPr>
          <w:rFonts w:hint="eastAsia" w:ascii="宋体" w:hAnsi="宋体" w:cs="宋体"/>
          <w:color w:val="auto"/>
          <w:highlight w:val="none"/>
        </w:rPr>
        <w:t>2.开标地点：</w:t>
      </w:r>
      <w:r>
        <w:rPr>
          <w:rFonts w:hint="eastAsia" w:ascii="宋体" w:hAnsi="宋体"/>
          <w:b/>
          <w:color w:val="auto"/>
          <w:szCs w:val="21"/>
          <w:highlight w:val="none"/>
        </w:rPr>
        <w:t>“苏采云”系统（网址：http://jszfcg.jsczt.cn/）“开标大厅”</w:t>
      </w:r>
    </w:p>
    <w:p>
      <w:pPr>
        <w:tabs>
          <w:tab w:val="left" w:pos="266"/>
        </w:tabs>
        <w:spacing w:line="360" w:lineRule="auto"/>
        <w:rPr>
          <w:rFonts w:ascii="宋体" w:hAnsi="宋体" w:cs="宋体"/>
          <w:b/>
          <w:bCs/>
          <w:color w:val="auto"/>
          <w:highlight w:val="none"/>
        </w:rPr>
      </w:pPr>
      <w:bookmarkStart w:id="23" w:name="_Toc35393794"/>
      <w:bookmarkStart w:id="24" w:name="_Toc38985267"/>
      <w:bookmarkStart w:id="25" w:name="_Toc28359084"/>
      <w:bookmarkStart w:id="26" w:name="_Toc28359007"/>
      <w:bookmarkStart w:id="27" w:name="_Toc35393625"/>
      <w:r>
        <w:rPr>
          <w:rFonts w:hint="eastAsia" w:ascii="宋体" w:hAnsi="宋体" w:cs="宋体"/>
          <w:b/>
          <w:bCs/>
          <w:color w:val="auto"/>
          <w:highlight w:val="none"/>
        </w:rPr>
        <w:t>五、公告期限</w:t>
      </w:r>
      <w:bookmarkEnd w:id="23"/>
      <w:bookmarkEnd w:id="24"/>
      <w:bookmarkEnd w:id="25"/>
      <w:bookmarkEnd w:id="26"/>
      <w:bookmarkEnd w:id="27"/>
    </w:p>
    <w:p>
      <w:pPr>
        <w:spacing w:line="360" w:lineRule="auto"/>
        <w:ind w:firstLine="420" w:firstLineChars="200"/>
        <w:rPr>
          <w:rFonts w:ascii="宋体" w:hAnsi="宋体" w:cs="宋体"/>
          <w:color w:val="auto"/>
          <w:kern w:val="0"/>
          <w:highlight w:val="none"/>
        </w:rPr>
      </w:pPr>
      <w:bookmarkStart w:id="28" w:name="_Toc38985268"/>
      <w:bookmarkStart w:id="29" w:name="_Toc35393795"/>
      <w:bookmarkStart w:id="30" w:name="_Toc35393626"/>
      <w:r>
        <w:rPr>
          <w:rFonts w:hint="eastAsia" w:ascii="宋体" w:hAnsi="宋体" w:cs="宋体"/>
          <w:color w:val="auto"/>
          <w:kern w:val="0"/>
          <w:highlight w:val="none"/>
        </w:rPr>
        <w:t>招标公告及招标文件公告期限为自本公告发布之日起5个工作日。</w:t>
      </w:r>
    </w:p>
    <w:p>
      <w:pPr>
        <w:tabs>
          <w:tab w:val="left" w:pos="266"/>
        </w:tabs>
        <w:spacing w:line="360" w:lineRule="auto"/>
        <w:rPr>
          <w:rFonts w:ascii="宋体" w:hAnsi="宋体" w:cs="宋体"/>
          <w:b/>
          <w:bCs/>
          <w:color w:val="auto"/>
          <w:highlight w:val="none"/>
        </w:rPr>
      </w:pPr>
      <w:r>
        <w:rPr>
          <w:rFonts w:hint="eastAsia" w:ascii="宋体" w:hAnsi="宋体" w:cs="宋体"/>
          <w:b/>
          <w:bCs/>
          <w:color w:val="auto"/>
          <w:highlight w:val="none"/>
        </w:rPr>
        <w:t>六、其他补充事宜</w:t>
      </w:r>
      <w:bookmarkEnd w:id="28"/>
      <w:bookmarkEnd w:id="29"/>
      <w:bookmarkEnd w:id="30"/>
    </w:p>
    <w:p>
      <w:pPr>
        <w:spacing w:line="360" w:lineRule="auto"/>
        <w:ind w:firstLine="525" w:firstLineChars="250"/>
        <w:rPr>
          <w:rFonts w:ascii="宋体" w:hAnsi="宋体" w:cs="宋体"/>
          <w:color w:val="auto"/>
          <w:kern w:val="0"/>
          <w:szCs w:val="21"/>
          <w:highlight w:val="none"/>
        </w:rPr>
      </w:pPr>
      <w:r>
        <w:rPr>
          <w:rFonts w:hint="eastAsia" w:ascii="宋体" w:hAnsi="宋体" w:cs="宋体"/>
          <w:color w:val="auto"/>
          <w:kern w:val="0"/>
          <w:highlight w:val="none"/>
        </w:rPr>
        <w:t>无</w:t>
      </w:r>
    </w:p>
    <w:p>
      <w:pPr>
        <w:tabs>
          <w:tab w:val="left" w:pos="266"/>
        </w:tabs>
        <w:spacing w:line="360" w:lineRule="auto"/>
        <w:rPr>
          <w:rFonts w:ascii="宋体" w:hAnsi="宋体" w:cs="宋体"/>
          <w:b/>
          <w:bCs/>
          <w:color w:val="auto"/>
          <w:highlight w:val="none"/>
        </w:rPr>
      </w:pPr>
      <w:bookmarkStart w:id="31" w:name="_Toc28359008"/>
      <w:bookmarkStart w:id="32" w:name="_Toc38985269"/>
      <w:bookmarkStart w:id="33" w:name="_Toc35393796"/>
      <w:bookmarkStart w:id="34" w:name="_Toc35393627"/>
      <w:bookmarkStart w:id="35" w:name="_Toc28359085"/>
      <w:r>
        <w:rPr>
          <w:rFonts w:hint="eastAsia" w:ascii="宋体" w:hAnsi="宋体" w:cs="宋体"/>
          <w:b/>
          <w:bCs/>
          <w:color w:val="auto"/>
          <w:highlight w:val="none"/>
        </w:rPr>
        <w:t>七、本次招标联系方式</w:t>
      </w:r>
      <w:bookmarkEnd w:id="31"/>
      <w:bookmarkEnd w:id="32"/>
      <w:bookmarkEnd w:id="33"/>
      <w:bookmarkEnd w:id="34"/>
      <w:bookmarkEnd w:id="35"/>
    </w:p>
    <w:p>
      <w:pPr>
        <w:widowControl/>
        <w:spacing w:line="360" w:lineRule="auto"/>
        <w:ind w:firstLine="420" w:firstLineChars="200"/>
        <w:jc w:val="left"/>
        <w:rPr>
          <w:rFonts w:ascii="宋体" w:hAnsi="宋体" w:cs="宋体"/>
          <w:color w:val="auto"/>
          <w:szCs w:val="21"/>
          <w:highlight w:val="none"/>
        </w:rPr>
      </w:pPr>
      <w:bookmarkStart w:id="36" w:name="_Toc28359087"/>
      <w:bookmarkStart w:id="37" w:name="_Toc28359010"/>
      <w:r>
        <w:rPr>
          <w:rFonts w:hint="eastAsia" w:ascii="宋体" w:hAnsi="宋体" w:cs="宋体"/>
          <w:color w:val="auto"/>
          <w:highlight w:val="none"/>
        </w:rPr>
        <w:t>1.采购人信息</w:t>
      </w:r>
    </w:p>
    <w:p>
      <w:pPr>
        <w:spacing w:line="360" w:lineRule="auto"/>
        <w:ind w:firstLine="420" w:firstLineChars="200"/>
        <w:jc w:val="left"/>
        <w:rPr>
          <w:rFonts w:ascii="宋体" w:hAnsi="宋体" w:cs="宋体"/>
          <w:color w:val="auto"/>
          <w:highlight w:val="none"/>
          <w:u w:val="single"/>
        </w:rPr>
      </w:pPr>
      <w:bookmarkStart w:id="38" w:name="_Toc28359086"/>
      <w:bookmarkStart w:id="39" w:name="_Toc28359009"/>
      <w:r>
        <w:rPr>
          <w:rFonts w:hint="eastAsia" w:ascii="宋体" w:hAnsi="宋体" w:cs="宋体"/>
          <w:color w:val="auto"/>
          <w:highlight w:val="none"/>
        </w:rPr>
        <w:t>名称：</w:t>
      </w:r>
      <w:r>
        <w:rPr>
          <w:rFonts w:hint="eastAsia" w:ascii="宋体" w:hAnsi="宋体" w:cs="宋体"/>
          <w:color w:val="auto"/>
          <w:highlight w:val="none"/>
          <w:u w:val="single"/>
        </w:rPr>
        <w:t>仪征市中医院</w:t>
      </w:r>
    </w:p>
    <w:p>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仪征市沿山河东路899号</w:t>
      </w:r>
    </w:p>
    <w:p>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single"/>
        </w:rPr>
        <w:t>王鹏洲</w:t>
      </w:r>
    </w:p>
    <w:p>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联系方式：</w:t>
      </w:r>
      <w:r>
        <w:rPr>
          <w:rFonts w:hint="eastAsia" w:ascii="宋体" w:hAnsi="宋体" w:cs="宋体"/>
          <w:color w:val="auto"/>
          <w:highlight w:val="none"/>
          <w:u w:val="single"/>
        </w:rPr>
        <w:t>15252530258</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2.代理机构信息</w:t>
      </w:r>
      <w:bookmarkEnd w:id="38"/>
      <w:bookmarkEnd w:id="39"/>
    </w:p>
    <w:p>
      <w:pPr>
        <w:spacing w:line="360" w:lineRule="auto"/>
        <w:ind w:firstLine="420"/>
        <w:rPr>
          <w:rFonts w:ascii="宋体" w:hAnsi="宋体" w:cs="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南京市建邺区云龙山路56号大唐科技大厦A座高区15楼</w:t>
      </w:r>
    </w:p>
    <w:p>
      <w:pPr>
        <w:spacing w:line="360" w:lineRule="auto"/>
        <w:ind w:firstLine="42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熊文宇、陈宇佳、姜博闻</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联系方式：</w:t>
      </w:r>
      <w:r>
        <w:rPr>
          <w:rFonts w:hint="eastAsia" w:ascii="宋体" w:hAnsi="宋体" w:cs="宋体"/>
          <w:color w:val="auto"/>
          <w:highlight w:val="none"/>
          <w:u w:val="single"/>
        </w:rPr>
        <w:t>025-84795467、5</w:t>
      </w:r>
      <w:r>
        <w:rPr>
          <w:rFonts w:ascii="宋体" w:hAnsi="宋体" w:cs="宋体"/>
          <w:color w:val="auto"/>
          <w:highlight w:val="none"/>
          <w:u w:val="single"/>
        </w:rPr>
        <w:t>989</w:t>
      </w:r>
    </w:p>
    <w:bookmarkEnd w:id="36"/>
    <w:bookmarkEnd w:id="37"/>
    <w:p>
      <w:pPr>
        <w:tabs>
          <w:tab w:val="left" w:pos="266"/>
        </w:tabs>
        <w:spacing w:line="360" w:lineRule="auto"/>
        <w:rPr>
          <w:rFonts w:ascii="宋体" w:hAnsi="宋体" w:cs="宋体"/>
          <w:b/>
          <w:bCs/>
          <w:color w:val="auto"/>
          <w:highlight w:val="none"/>
        </w:rPr>
      </w:pPr>
      <w:r>
        <w:rPr>
          <w:rFonts w:hint="eastAsia" w:ascii="宋体" w:hAnsi="宋体" w:cs="宋体"/>
          <w:b/>
          <w:bCs/>
          <w:color w:val="auto"/>
          <w:highlight w:val="none"/>
        </w:rPr>
        <w:t>八、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pPr>
        <w:spacing w:line="360" w:lineRule="auto"/>
        <w:rPr>
          <w:rFonts w:ascii="宋体" w:hAnsi="宋体" w:cs="宋体"/>
          <w:b/>
          <w:bCs/>
          <w:color w:val="auto"/>
          <w:highlight w:val="none"/>
        </w:rPr>
      </w:pPr>
      <w:r>
        <w:rPr>
          <w:rFonts w:hint="eastAsia" w:ascii="宋体" w:hAnsi="宋体" w:cs="宋体"/>
          <w:b/>
          <w:bCs/>
          <w:color w:val="auto"/>
          <w:highlight w:val="none"/>
        </w:rPr>
        <w:t>九、其他</w:t>
      </w:r>
    </w:p>
    <w:p>
      <w:pPr>
        <w:shd w:val="clear" w:color="auto" w:fill="FFFFFF"/>
        <w:spacing w:line="360" w:lineRule="auto"/>
        <w:ind w:firstLine="422" w:firstLineChars="200"/>
        <w:rPr>
          <w:rFonts w:ascii="宋体" w:hAnsi="宋体"/>
          <w:b/>
          <w:bCs/>
          <w:color w:val="auto"/>
          <w:highlight w:val="none"/>
        </w:rPr>
      </w:pPr>
      <w:r>
        <w:rPr>
          <w:rFonts w:hint="eastAsia" w:ascii="宋体" w:hAnsi="宋体"/>
          <w:b/>
          <w:bCs/>
          <w:color w:val="auto"/>
          <w:highlight w:val="none"/>
        </w:rPr>
        <w:t>1.</w:t>
      </w:r>
      <w:r>
        <w:rPr>
          <w:rFonts w:hint="eastAsia" w:ascii="宋体" w:hAnsi="宋体"/>
          <w:b/>
          <w:bCs/>
          <w:color w:val="auto"/>
          <w:szCs w:val="21"/>
          <w:highlight w:val="none"/>
        </w:rPr>
        <w:t>本次采购采用“政府采购管理交易系统（苏采云）”，招标、投标、评标和中标结果发布全程电子化，开标方式为不见面开标。投标人应当按照</w:t>
      </w:r>
      <w:r>
        <w:rPr>
          <w:rFonts w:hint="eastAsia" w:ascii="宋体" w:hAnsi="宋体" w:cs="宋体"/>
          <w:b/>
          <w:bCs/>
          <w:color w:val="auto"/>
          <w:highlight w:val="none"/>
        </w:rPr>
        <w:t>《政府采购管理交易系统（苏采云）供应商操作手册》</w:t>
      </w:r>
      <w:r>
        <w:rPr>
          <w:rFonts w:hint="eastAsia" w:ascii="宋体" w:hAnsi="宋体"/>
          <w:b/>
          <w:bCs/>
          <w:color w:val="auto"/>
          <w:szCs w:val="21"/>
          <w:highlight w:val="none"/>
        </w:rPr>
        <w:t>参加投标活动。</w:t>
      </w:r>
      <w:r>
        <w:rPr>
          <w:rFonts w:hint="eastAsia" w:ascii="宋体" w:hAnsi="宋体"/>
          <w:b/>
          <w:bCs/>
          <w:color w:val="auto"/>
          <w:highlight w:val="none"/>
        </w:rPr>
        <w:t>如投标人未按要求操作，由此所产生的风险由投标人自行承担。</w:t>
      </w:r>
    </w:p>
    <w:p>
      <w:pPr>
        <w:shd w:val="clear" w:color="auto" w:fill="FFFFFF"/>
        <w:spacing w:line="360" w:lineRule="auto"/>
        <w:ind w:firstLine="422" w:firstLineChars="200"/>
        <w:rPr>
          <w:rFonts w:ascii="宋体" w:hAnsi="宋体"/>
          <w:color w:val="auto"/>
          <w:highlight w:val="none"/>
        </w:rPr>
      </w:pPr>
      <w:r>
        <w:rPr>
          <w:rFonts w:hint="eastAsia" w:ascii="宋体" w:hAnsi="宋体"/>
          <w:b/>
          <w:bCs/>
          <w:color w:val="auto"/>
          <w:highlight w:val="none"/>
        </w:rPr>
        <w:t>2.</w:t>
      </w:r>
      <w:r>
        <w:rPr>
          <w:rFonts w:hint="eastAsia" w:ascii="宋体" w:hAnsi="宋体" w:cs="宋体"/>
          <w:b/>
          <w:bCs/>
          <w:color w:val="auto"/>
          <w:highlight w:val="none"/>
        </w:rPr>
        <w:t>供应商如确定参加投标，可自行下载招标文件及有关资料，按照《操作手册》进行注</w:t>
      </w:r>
      <w:r>
        <w:rPr>
          <w:rFonts w:hint="eastAsia" w:ascii="宋体" w:hAnsi="宋体"/>
          <w:b/>
          <w:bCs/>
          <w:color w:val="auto"/>
          <w:szCs w:val="21"/>
          <w:highlight w:val="none"/>
        </w:rPr>
        <w:t>册，领取CA和办理电子签章，并按《操作手册》要求制作、上传电子投标文件，技术支持联系方式：13813140731。</w:t>
      </w:r>
    </w:p>
    <w:p>
      <w:pPr>
        <w:widowControl/>
        <w:spacing w:line="360" w:lineRule="auto"/>
        <w:ind w:firstLine="422" w:firstLineChars="200"/>
        <w:jc w:val="left"/>
        <w:rPr>
          <w:rFonts w:ascii="宋体" w:hAnsi="宋体" w:cs="宋体"/>
          <w:b/>
          <w:color w:val="auto"/>
          <w:highlight w:val="none"/>
        </w:rPr>
      </w:pPr>
      <w:r>
        <w:rPr>
          <w:rFonts w:hint="eastAsia" w:ascii="宋体" w:hAnsi="宋体" w:cs="宋体"/>
          <w:b/>
          <w:color w:val="auto"/>
          <w:highlight w:val="none"/>
        </w:rPr>
        <w:t>3.潜在投标人对招标文件项目需求部分的询问、质疑请向采购人提出，由采购人负责答复。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4.</w:t>
      </w:r>
      <w:r>
        <w:rPr>
          <w:rFonts w:hint="eastAsia" w:ascii="宋体" w:hAnsi="宋体"/>
          <w:color w:val="auto"/>
          <w:highlight w:val="none"/>
        </w:rPr>
        <w:t>本次招标不收取投标保证金。</w:t>
      </w:r>
    </w:p>
    <w:p>
      <w:pPr>
        <w:spacing w:line="360" w:lineRule="auto"/>
        <w:ind w:firstLine="420" w:firstLineChars="200"/>
        <w:rPr>
          <w:rFonts w:ascii="宋体" w:hAnsi="宋体" w:cs="宋体"/>
          <w:bCs/>
          <w:color w:val="auto"/>
          <w:highlight w:val="none"/>
        </w:rPr>
      </w:pPr>
      <w:r>
        <w:rPr>
          <w:rFonts w:hint="eastAsia" w:ascii="宋体" w:hAnsi="宋体"/>
          <w:color w:val="auto"/>
          <w:szCs w:val="21"/>
          <w:highlight w:val="none"/>
        </w:rPr>
        <w:t>5.</w:t>
      </w:r>
      <w:r>
        <w:rPr>
          <w:rFonts w:hint="eastAsia" w:ascii="宋体" w:hAnsi="宋体" w:cs="宋体"/>
          <w:bCs/>
          <w:color w:val="auto"/>
          <w:highlight w:val="none"/>
        </w:rPr>
        <w:t>有关本次招标的事项若存在变动或修改，敬请及时关注“仪征市政府采购网”、“扬州市政府采购网”、“江苏省政府采购网”发布的信息。</w:t>
      </w:r>
    </w:p>
    <w:p>
      <w:pPr>
        <w:spacing w:line="360" w:lineRule="auto"/>
        <w:ind w:firstLine="422" w:firstLineChars="200"/>
        <w:rPr>
          <w:rFonts w:ascii="宋体" w:hAnsi="宋体" w:cs="宋体"/>
          <w:b/>
          <w:i/>
          <w:iCs/>
          <w:color w:val="auto"/>
          <w:highlight w:val="none"/>
          <w:u w:val="single"/>
        </w:rPr>
      </w:pPr>
      <w:r>
        <w:rPr>
          <w:rFonts w:hint="eastAsia" w:ascii="宋体" w:hAnsi="宋体" w:cs="宋体"/>
          <w:b/>
          <w:i/>
          <w:iCs/>
          <w:color w:val="auto"/>
          <w:highlight w:val="none"/>
          <w:u w:val="single"/>
        </w:rPr>
        <w:t>6.本项目招标文件中所有斜体下划线部分为实质性条款，如不满足，则为无效投标。</w:t>
      </w:r>
    </w:p>
    <w:p>
      <w:pPr>
        <w:pStyle w:val="19"/>
        <w:widowControl/>
        <w:shd w:val="clear" w:color="auto" w:fill="FFFFFF"/>
        <w:spacing w:line="360" w:lineRule="auto"/>
        <w:ind w:firstLine="402"/>
        <w:jc w:val="left"/>
        <w:rPr>
          <w:rFonts w:ascii="宋体" w:hAnsi="宋体" w:cs="宋体"/>
          <w:color w:val="auto"/>
          <w:sz w:val="21"/>
          <w:szCs w:val="21"/>
          <w:highlight w:val="none"/>
        </w:rPr>
      </w:pPr>
      <w:r>
        <w:rPr>
          <w:rFonts w:hint="eastAsia" w:ascii="宋体" w:hAnsi="宋体" w:cs="宋体"/>
          <w:b/>
          <w:bCs/>
          <w:color w:val="auto"/>
          <w:sz w:val="21"/>
          <w:szCs w:val="21"/>
          <w:highlight w:val="none"/>
          <w:shd w:val="clear" w:color="auto" w:fill="FFFFFF"/>
        </w:rPr>
        <w:t>7.落实好政府采购履约资金扶持政策。中标/成交供应商可凭政府采购合同办理融资贷款，详见江苏政府采购网“政采贷”专栏。</w:t>
      </w:r>
    </w:p>
    <w:p>
      <w:pPr>
        <w:widowControl/>
        <w:shd w:val="clear" w:color="auto" w:fill="FFFFFF"/>
        <w:spacing w:line="360" w:lineRule="auto"/>
        <w:ind w:firstLine="422"/>
        <w:jc w:val="left"/>
        <w:rPr>
          <w:rFonts w:ascii="宋体" w:hAnsi="宋体" w:cs="宋体"/>
          <w:color w:val="auto"/>
          <w:szCs w:val="21"/>
          <w:highlight w:val="none"/>
        </w:rPr>
      </w:pPr>
      <w:r>
        <w:rPr>
          <w:rFonts w:hint="eastAsia" w:ascii="宋体" w:hAnsi="宋体" w:cs="宋体"/>
          <w:b/>
          <w:bCs/>
          <w:color w:val="auto"/>
          <w:kern w:val="0"/>
          <w:szCs w:val="21"/>
          <w:highlight w:val="none"/>
          <w:shd w:val="clear" w:color="auto" w:fill="FFFFFF"/>
          <w:lang w:bidi="ar"/>
        </w:rPr>
        <w:t>8.供应商对于投标产品的包装应按照“财办库〔2020〕123号《关于印发《商品包装政府采购需求标准（试行）》、《快递包装政府采购需求标准（试行）》的通知》”执行。</w:t>
      </w:r>
    </w:p>
    <w:p>
      <w:pPr>
        <w:widowControl/>
        <w:shd w:val="clear" w:color="auto" w:fill="FFFFFF"/>
        <w:spacing w:line="360" w:lineRule="auto"/>
        <w:ind w:firstLine="422"/>
        <w:jc w:val="left"/>
        <w:rPr>
          <w:rFonts w:ascii="宋体" w:hAnsi="宋体" w:cs="宋体"/>
          <w:color w:val="auto"/>
          <w:szCs w:val="21"/>
          <w:highlight w:val="none"/>
        </w:rPr>
      </w:pPr>
      <w:r>
        <w:rPr>
          <w:rFonts w:hint="eastAsia" w:ascii="宋体" w:hAnsi="宋体" w:cs="宋体"/>
          <w:b/>
          <w:bCs/>
          <w:color w:val="auto"/>
          <w:kern w:val="0"/>
          <w:szCs w:val="21"/>
          <w:highlight w:val="none"/>
          <w:shd w:val="clear" w:color="auto" w:fill="FFFFFF"/>
          <w:lang w:bidi="ar"/>
        </w:rPr>
        <w:t>9.严格执行政府采购关于支持节能产品、环境标志产品的相关政策规定。如本次采购</w:t>
      </w:r>
      <w:r>
        <w:rPr>
          <w:rFonts w:hint="eastAsia" w:ascii="宋体" w:hAnsi="宋体" w:cs="宋体"/>
          <w:color w:val="auto"/>
          <w:kern w:val="0"/>
          <w:szCs w:val="21"/>
          <w:highlight w:val="none"/>
          <w:shd w:val="clear" w:color="auto" w:fill="FFFFFF"/>
          <w:lang w:bidi="ar"/>
        </w:rPr>
        <w:t>的产品属于财政部、国家发展改革委、生态环境部、市场监管总局等部门发布的节能产品、环境标志产品品目清单政府强制采购范围的，供应商必须在响应文件中提供所投产品的相关证书(</w:t>
      </w:r>
      <w:r>
        <w:rPr>
          <w:rFonts w:hint="eastAsia" w:ascii="宋体" w:hAnsi="宋体" w:cs="宋体"/>
          <w:b/>
          <w:bCs/>
          <w:color w:val="auto"/>
          <w:kern w:val="0"/>
          <w:szCs w:val="21"/>
          <w:highlight w:val="none"/>
          <w:shd w:val="clear" w:color="auto" w:fill="FFFFFF"/>
          <w:lang w:bidi="ar"/>
        </w:rPr>
        <w:t>由国家确定的认证机构出具的、处于有效期之内的节能产品、环境标志产品认证证书</w:t>
      </w:r>
      <w:r>
        <w:rPr>
          <w:rFonts w:hint="eastAsia" w:ascii="宋体" w:hAnsi="宋体" w:cs="宋体"/>
          <w:color w:val="auto"/>
          <w:kern w:val="0"/>
          <w:szCs w:val="21"/>
          <w:highlight w:val="none"/>
          <w:shd w:val="clear" w:color="auto" w:fill="FFFFFF"/>
          <w:lang w:bidi="ar"/>
        </w:rPr>
        <w:t>)</w:t>
      </w:r>
      <w:r>
        <w:rPr>
          <w:rFonts w:hint="eastAsia" w:ascii="宋体" w:hAnsi="宋体" w:cs="宋体"/>
          <w:b/>
          <w:bCs/>
          <w:color w:val="auto"/>
          <w:kern w:val="0"/>
          <w:szCs w:val="21"/>
          <w:highlight w:val="none"/>
          <w:shd w:val="clear" w:color="auto" w:fill="FFFFFF"/>
          <w:lang w:bidi="ar"/>
        </w:rPr>
        <w:t>。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pPr>
        <w:rPr>
          <w:color w:val="auto"/>
          <w:highlight w:val="none"/>
        </w:rPr>
      </w:pPr>
      <w:r>
        <w:rPr>
          <w:color w:val="auto"/>
          <w:highlight w:val="none"/>
        </w:rPr>
        <w:br w:type="page"/>
      </w:r>
    </w:p>
    <w:p>
      <w:pPr>
        <w:pStyle w:val="7"/>
        <w:jc w:val="center"/>
        <w:rPr>
          <w:rFonts w:ascii="宋体" w:hAnsi="宋体"/>
          <w:color w:val="auto"/>
          <w:szCs w:val="36"/>
          <w:highlight w:val="none"/>
        </w:rPr>
      </w:pPr>
      <w:bookmarkStart w:id="40" w:name="_Toc55204178"/>
      <w:r>
        <w:rPr>
          <w:rFonts w:hint="eastAsia" w:ascii="宋体" w:hAnsi="宋体"/>
          <w:color w:val="auto"/>
          <w:szCs w:val="36"/>
          <w:highlight w:val="none"/>
        </w:rPr>
        <w:t>第二章 投标人须知</w:t>
      </w:r>
      <w:bookmarkEnd w:id="40"/>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1、招标方式</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1.1 本次招标采取公开招标方式，本招标文件仅适用于</w:t>
      </w:r>
      <w:r>
        <w:rPr>
          <w:rFonts w:hint="eastAsia" w:ascii="宋体" w:hAnsi="宋体"/>
          <w:bCs/>
          <w:color w:val="auto"/>
          <w:szCs w:val="21"/>
          <w:highlight w:val="none"/>
        </w:rPr>
        <w:t>JSZC-321081-HWZX-G2023-0XXX（0675-236JOC003XXX）</w:t>
      </w:r>
      <w:r>
        <w:rPr>
          <w:rFonts w:hint="eastAsia" w:ascii="宋体" w:hAnsi="宋体"/>
          <w:bCs/>
          <w:color w:val="auto"/>
          <w:szCs w:val="21"/>
          <w:highlight w:val="none"/>
        </w:rPr>
        <w:t>号项目。</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2、投标人</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2.1 本招标文件中“供应商”，即“投标人”，是指参加投标竞争，并符合招标文件规定资格条件的法人、其他组织或者自然人。</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2.2合格的投标人</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2.2.1 满足招标公告中供应商的资格条件要求的规定。</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2.2.2 满足本文件实质性条款的规定。</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3、适用法律</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3.1 本次招标及由此产生的合同受中华人民共和国有关的法律法规制约和保护。</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4、投标费用</w:t>
      </w:r>
    </w:p>
    <w:p>
      <w:pPr>
        <w:spacing w:line="440" w:lineRule="exact"/>
        <w:ind w:firstLine="420" w:firstLineChars="200"/>
        <w:rPr>
          <w:color w:val="auto"/>
          <w:highlight w:val="none"/>
        </w:rPr>
      </w:pPr>
      <w:r>
        <w:rPr>
          <w:color w:val="auto"/>
          <w:highlight w:val="none"/>
        </w:rPr>
        <w:t xml:space="preserve">4.1 投标人应自行承担所有与参加投标有关的费用，无论投标过程中的做法和结果如 何，代理机构在任何情况下均无义务和责任承担这些费用。 </w:t>
      </w:r>
    </w:p>
    <w:p>
      <w:pPr>
        <w:spacing w:line="440" w:lineRule="exact"/>
        <w:ind w:firstLine="420" w:firstLineChars="200"/>
        <w:rPr>
          <w:color w:val="auto"/>
          <w:highlight w:val="none"/>
        </w:rPr>
      </w:pPr>
      <w:r>
        <w:rPr>
          <w:color w:val="auto"/>
          <w:highlight w:val="none"/>
        </w:rPr>
        <w:t>4.</w:t>
      </w:r>
      <w:r>
        <w:rPr>
          <w:rFonts w:hint="eastAsia"/>
          <w:color w:val="auto"/>
          <w:highlight w:val="none"/>
        </w:rPr>
        <w:t>2</w:t>
      </w:r>
      <w:r>
        <w:rPr>
          <w:rFonts w:hint="eastAsia" w:ascii="宋体" w:hAnsi="宋体"/>
          <w:color w:val="auto"/>
          <w:highlight w:val="none"/>
        </w:rPr>
        <w:t>代理服务费：领取中标通知书时，以中标金额为基数，中标人按照江苏省招标投标协会(苏招协[2022]002)《江苏省招标代理服务收费的指导意见》货物收费指导价标准一次性支付给招标代理机构。</w:t>
      </w:r>
    </w:p>
    <w:p>
      <w:pPr>
        <w:spacing w:line="440" w:lineRule="exact"/>
        <w:ind w:firstLine="420" w:firstLineChars="200"/>
        <w:rPr>
          <w:color w:val="auto"/>
          <w:highlight w:val="none"/>
        </w:rPr>
      </w:pPr>
      <w:r>
        <w:rPr>
          <w:color w:val="auto"/>
          <w:highlight w:val="none"/>
        </w:rPr>
        <w:t xml:space="preserve">（1）代理服务费以人民币支付； </w:t>
      </w:r>
    </w:p>
    <w:p>
      <w:pPr>
        <w:spacing w:line="440" w:lineRule="exact"/>
        <w:ind w:firstLine="420" w:firstLineChars="200"/>
        <w:rPr>
          <w:color w:val="auto"/>
          <w:highlight w:val="none"/>
        </w:rPr>
      </w:pPr>
      <w:r>
        <w:rPr>
          <w:color w:val="auto"/>
          <w:highlight w:val="none"/>
        </w:rPr>
        <w:t xml:space="preserve">（2）代理服务费一次性以电汇、转账等非现金形式支付； </w:t>
      </w:r>
    </w:p>
    <w:p>
      <w:pPr>
        <w:spacing w:line="440" w:lineRule="exact"/>
        <w:ind w:firstLine="420" w:firstLineChars="200"/>
        <w:rPr>
          <w:color w:val="auto"/>
          <w:highlight w:val="none"/>
        </w:rPr>
      </w:pPr>
      <w:r>
        <w:rPr>
          <w:color w:val="auto"/>
          <w:highlight w:val="none"/>
        </w:rPr>
        <w:t xml:space="preserve">（3）招标代理服务费不在投标报价中单列，包含在投标总价中，由中标单位支付给代理机构。 </w:t>
      </w:r>
    </w:p>
    <w:p>
      <w:pPr>
        <w:spacing w:line="440" w:lineRule="exact"/>
        <w:ind w:firstLine="420" w:firstLineChars="200"/>
        <w:rPr>
          <w:color w:val="auto"/>
          <w:highlight w:val="none"/>
        </w:rPr>
      </w:pPr>
      <w:r>
        <w:rPr>
          <w:color w:val="auto"/>
          <w:highlight w:val="none"/>
        </w:rPr>
        <w:t>招标代理服务费开户银行：江苏海外集团国际工程咨询有限公司</w:t>
      </w:r>
    </w:p>
    <w:p>
      <w:pPr>
        <w:spacing w:line="440" w:lineRule="exact"/>
        <w:ind w:firstLine="420" w:firstLineChars="200"/>
        <w:rPr>
          <w:color w:val="auto"/>
          <w:highlight w:val="none"/>
        </w:rPr>
      </w:pPr>
      <w:r>
        <w:rPr>
          <w:color w:val="auto"/>
          <w:highlight w:val="none"/>
        </w:rPr>
        <w:t>开户名称： 交通银行江苏省分行营业部</w:t>
      </w:r>
    </w:p>
    <w:p>
      <w:pPr>
        <w:spacing w:line="440" w:lineRule="exact"/>
        <w:ind w:firstLine="420" w:firstLineChars="200"/>
        <w:rPr>
          <w:color w:val="auto"/>
          <w:highlight w:val="none"/>
        </w:rPr>
      </w:pPr>
      <w:r>
        <w:rPr>
          <w:color w:val="auto"/>
          <w:highlight w:val="none"/>
        </w:rPr>
        <w:t xml:space="preserve">开户帐号：320006607010141124109 </w:t>
      </w:r>
    </w:p>
    <w:p>
      <w:pPr>
        <w:spacing w:line="440" w:lineRule="exact"/>
        <w:ind w:firstLine="420" w:firstLineChars="200"/>
        <w:rPr>
          <w:color w:val="auto"/>
          <w:highlight w:val="none"/>
        </w:rPr>
      </w:pPr>
      <w:r>
        <w:rPr>
          <w:color w:val="auto"/>
          <w:highlight w:val="none"/>
        </w:rPr>
        <w:t>4.</w:t>
      </w:r>
      <w:r>
        <w:rPr>
          <w:rFonts w:hint="eastAsia"/>
          <w:color w:val="auto"/>
          <w:highlight w:val="none"/>
        </w:rPr>
        <w:t>3</w:t>
      </w:r>
      <w:r>
        <w:rPr>
          <w:color w:val="auto"/>
          <w:highlight w:val="none"/>
        </w:rPr>
        <w:t>专家评审费按扬财购【2020】40 号文《关于</w:t>
      </w:r>
      <w:r>
        <w:rPr>
          <w:rFonts w:hint="eastAsia"/>
          <w:color w:val="auto"/>
          <w:highlight w:val="none"/>
        </w:rPr>
        <w:t>进一步</w:t>
      </w:r>
      <w:r>
        <w:rPr>
          <w:color w:val="auto"/>
          <w:highlight w:val="none"/>
        </w:rPr>
        <w:t>规范扬州市政府采购专家评审费标准的通知》执行。</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5、招标文件的约束力</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5.1 投标人一旦参加本项目采购活动，即被认为接受了本招标文件的规定和约束。</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6、招标文件构成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6.1 招标文件有以下部分组成：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（1）招标公告</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（2）投标人须知</w:t>
      </w:r>
      <w:r>
        <w:rPr>
          <w:rFonts w:hint="eastAsia" w:ascii="宋体" w:hAnsi="宋体"/>
          <w:bCs/>
          <w:color w:val="auto"/>
          <w:szCs w:val="21"/>
          <w:highlight w:val="none"/>
        </w:rPr>
        <w:tab/>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（3）合同条款及格式</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（4）项目需求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（5）评标方法与评标标准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（6）投标文件格式</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请仔细检查招标文件是否齐全，如有缺漏请立即与代理机构联系解决。</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6.3 招标文件如果要求供应商提交备选投标方案的，供应商可以提交备选方案；否则，备选方案将被拒绝。</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7、招标文件的澄清</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7.1 任何要求对招标文件进行澄清的投标人，应在投标截止日期的十日前按招标公告中的通讯地址，以书面形式通知代理机构。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8、招标文件的修改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8.1 在投标截止时间前，代理机构可以对招标文件进行修改。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8.2代理机构在招标文件要求提交投标文件截止时间前，有权按照法定要求推迟投标截止时间和开标时间。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8.3招标文件的修改将在“仪征市政府采购网”、“扬州市政府采购网”、“江苏省政府采购网”公布，补充文件将作为招标文件的组成部分，并对投标人具有约束力。</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9、投标文件的语言、度量衡单位、货币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9.1投标人提交的投标文件以及投标人与代理机构就有关投标的所有来往通知、函件和文件均应使用简体中文。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9.2 除技术性能另有规定外，投标文件所使用的度量衡单位，均须采用国家法定计量单位。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9.3投标人应使用人民币报价。</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10、投标文件构成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10.1投标文件由以下部分组成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（1）资格审查响应对照表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（2）符合性审查响应对照表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（3）非实质性响应对照表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（4）开标一览表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（5）分项报价表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（6）技术参数响应及偏离表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（7）商务条款响应及偏离表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（8）其他 （投标人认为有必要提供的声明和文件，如有自拟并自行添加）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10.2投标人应当根据招标文件要求编制投标文件，投标文件应对招标文件提出的要求和条件作出响应，并在相应的投标文件中逐条标明满足与否。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11、证明投标人资格及符合招标文件规定的文件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11.1投标人应按要求提交资格证明文件及符合招标文件规定的文件。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11.2投标人应提交证明其有资格参加投标和中标后有能力独立履行合同的文件。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11.3投标人除必须具有履行合同所需提供的产品或服务的能力外，还必须具备相应的财务、技术方面的能力。</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11.4投标人应提交根据合同要求提供的证明服务质量合格以及符合招标文件规定的证明文件。</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11.5证明投标人所提供服务与招标文件的要求相一致的文件可以是手册、图纸、文字资料和数据。</w:t>
      </w:r>
    </w:p>
    <w:p>
      <w:pPr>
        <w:spacing w:line="360" w:lineRule="auto"/>
        <w:ind w:left="420" w:leftChars="200"/>
        <w:rPr>
          <w:rFonts w:ascii="宋体" w:hAnsi="宋体"/>
          <w:b/>
          <w:color w:val="auto"/>
          <w:szCs w:val="21"/>
          <w:highlight w:val="none"/>
        </w:rPr>
      </w:pPr>
      <w:r>
        <w:rPr>
          <w:rFonts w:hint="eastAsia" w:ascii="宋体" w:hAnsi="宋体"/>
          <w:b/>
          <w:color w:val="auto"/>
          <w:szCs w:val="21"/>
          <w:highlight w:val="none"/>
        </w:rPr>
        <w:t>12、</w:t>
      </w:r>
      <w:r>
        <w:rPr>
          <w:rFonts w:hint="eastAsia"/>
          <w:b/>
          <w:bCs/>
          <w:color w:val="auto"/>
          <w:highlight w:val="none"/>
        </w:rPr>
        <w:t>分项报价表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12.2 标的物</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采购人需求的服务供应、安装，调试及有关技术服务等。</w:t>
      </w:r>
    </w:p>
    <w:p>
      <w:pPr>
        <w:spacing w:line="360" w:lineRule="auto"/>
        <w:ind w:firstLine="420" w:firstLineChars="200"/>
        <w:rPr>
          <w:rFonts w:ascii="宋体" w:hAnsi="宋体"/>
          <w:color w:val="auto"/>
          <w:highlight w:val="none"/>
        </w:rPr>
      </w:pPr>
      <w:r>
        <w:rPr>
          <w:rFonts w:hint="eastAsia" w:ascii="宋体" w:hAnsi="宋体"/>
          <w:color w:val="auto"/>
          <w:highlight w:val="none"/>
        </w:rPr>
        <w:t>12.3其它费用处理</w:t>
      </w:r>
    </w:p>
    <w:p>
      <w:pPr>
        <w:spacing w:line="360" w:lineRule="auto"/>
        <w:ind w:firstLine="420" w:firstLineChars="200"/>
        <w:rPr>
          <w:rFonts w:ascii="宋体" w:hAnsi="宋体"/>
          <w:color w:val="auto"/>
          <w:highlight w:val="none"/>
        </w:rPr>
      </w:pPr>
      <w:r>
        <w:rPr>
          <w:rFonts w:hint="eastAsia" w:ascii="宋体" w:hAnsi="宋体"/>
          <w:color w:val="auto"/>
          <w:highlight w:val="none"/>
        </w:rPr>
        <w:t>招标文件未列明，而投标人认为必需的费用也需列入报价。</w:t>
      </w:r>
    </w:p>
    <w:p>
      <w:pPr>
        <w:spacing w:line="360" w:lineRule="auto"/>
        <w:ind w:firstLine="420" w:firstLineChars="200"/>
        <w:rPr>
          <w:rFonts w:ascii="宋体" w:hAnsi="宋体"/>
          <w:color w:val="auto"/>
          <w:highlight w:val="none"/>
        </w:rPr>
      </w:pPr>
      <w:r>
        <w:rPr>
          <w:rFonts w:hint="eastAsia" w:ascii="宋体" w:hAnsi="宋体"/>
          <w:color w:val="auto"/>
          <w:highlight w:val="none"/>
        </w:rPr>
        <w:t>12.4投标货币</w:t>
      </w:r>
    </w:p>
    <w:p>
      <w:pPr>
        <w:spacing w:line="360" w:lineRule="auto"/>
        <w:ind w:firstLine="420" w:firstLineChars="200"/>
        <w:rPr>
          <w:rFonts w:ascii="宋体" w:hAnsi="宋体"/>
          <w:color w:val="auto"/>
          <w:highlight w:val="none"/>
        </w:rPr>
      </w:pPr>
      <w:r>
        <w:rPr>
          <w:rFonts w:hint="eastAsia" w:ascii="宋体" w:hAnsi="宋体"/>
          <w:color w:val="auto"/>
          <w:highlight w:val="none"/>
        </w:rPr>
        <w:t>投标文件中的服务单价和总价无特殊规定的采用人民币报价，以元为单位标注。招标文件中另有规定的按规定执行。</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13、技术参数响应及偏离表、商务条款响应及偏离表及投标货物说明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对招标文件中的技术与商务条款要求逐项作出响应或偏离，并说明原因；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13.2 提供参加本项目类似案例简介；</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13.3 培训计划；</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13.4 投标人认为需要的其他技术文件或说明。</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14、服务承诺及售后服务机构、人员的情况介绍</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14.1投标人的服务承诺应按不低于招标文件中商务要求的标准。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14.2提供投标人有关售后服务的管理制度、售后服务机构的分布情况、售后服务人员的数量、素质、技术水平及售后服务的反应能力。</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15、投标函和开标一览表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15.1 投标人应按照招标文件中提供的格式完整、正确填写投标函、开标一览表。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15.2 开标一览表中的价格应与投标文件中分项报价表中的价格一致，如不一致，不作为无效投标处理，但评标时按开标一览表中价格为准。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16、投标有效期</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 投标有效期为开标之日起九十（90）天。投标有效期比规定短的将被视为非响应性投标而予以拒绝。</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pPr>
        <w:spacing w:line="360" w:lineRule="auto"/>
        <w:ind w:firstLine="422" w:firstLineChars="200"/>
        <w:rPr>
          <w:rFonts w:ascii="宋体" w:hAnsi="宋体"/>
          <w:b/>
          <w:color w:val="auto"/>
          <w:szCs w:val="21"/>
          <w:highlight w:val="none"/>
        </w:rPr>
      </w:pPr>
      <w:bookmarkStart w:id="41" w:name="_Toc513029225"/>
      <w:bookmarkStart w:id="42" w:name="_Toc462564084"/>
      <w:bookmarkStart w:id="43" w:name="_Toc16938541"/>
      <w:bookmarkStart w:id="44" w:name="_Toc20823297"/>
      <w:r>
        <w:rPr>
          <w:rFonts w:hint="eastAsia" w:ascii="宋体" w:hAnsi="宋体"/>
          <w:b/>
          <w:color w:val="auto"/>
          <w:szCs w:val="21"/>
          <w:highlight w:val="none"/>
        </w:rPr>
        <w:t>17、投标文件</w:t>
      </w:r>
      <w:bookmarkEnd w:id="41"/>
      <w:bookmarkEnd w:id="42"/>
      <w:bookmarkEnd w:id="43"/>
      <w:bookmarkEnd w:id="44"/>
      <w:r>
        <w:rPr>
          <w:rFonts w:hint="eastAsia" w:ascii="宋体" w:hAnsi="宋体"/>
          <w:b/>
          <w:color w:val="auto"/>
          <w:szCs w:val="21"/>
          <w:highlight w:val="none"/>
        </w:rPr>
        <w:t>的递交</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17.1 电子投标文件的递交投标人应当按照《操作手册》规定，在投标截止时间前制作并上传电子投标文件。</w:t>
      </w:r>
      <w:bookmarkStart w:id="45" w:name="_Toc16938542"/>
      <w:bookmarkStart w:id="46" w:name="_Toc20823298"/>
      <w:bookmarkStart w:id="47" w:name="_Toc513029226"/>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17.2</w:t>
      </w:r>
      <w:r>
        <w:rPr>
          <w:rFonts w:hint="eastAsia" w:ascii="宋体" w:hAnsi="宋体"/>
          <w:b/>
          <w:bCs/>
          <w:color w:val="auto"/>
          <w:szCs w:val="21"/>
          <w:highlight w:val="none"/>
        </w:rPr>
        <w:t>政府采购管理交易系统（苏采云）</w:t>
      </w:r>
      <w:r>
        <w:rPr>
          <w:rFonts w:hint="eastAsia" w:ascii="宋体" w:hAnsi="宋体"/>
          <w:b/>
          <w:color w:val="auto"/>
          <w:szCs w:val="21"/>
          <w:highlight w:val="none"/>
        </w:rPr>
        <w:t>相关要求是本招标文件的组成部分。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17.3投标人应对 CA 证书妥善保管，如被他人盗用投标，因此带来的结果均由投标人自行承担。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17.4投标人应当对招标文件提出的要求和条件作出实质性响应，并在电子投标系统逐条应答。</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17.5投标人应对要求提供的资格证明文件（如资质证书、资格证书）、技术资料（如白皮书、彩页、手册、检测报告等）扫描上传至投标系统。</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17.6投标人应当在招标文件要求提交投标文件的截止时间前，将投标文件提交至“苏采云”系统，逾期提交的投标文件，“苏采云”系统将自动拒收。</w:t>
      </w:r>
    </w:p>
    <w:p>
      <w:pPr>
        <w:spacing w:line="360" w:lineRule="auto"/>
        <w:ind w:firstLine="422" w:firstLineChars="200"/>
        <w:rPr>
          <w:color w:val="auto"/>
          <w:highlight w:val="none"/>
        </w:rPr>
      </w:pPr>
      <w:r>
        <w:rPr>
          <w:rFonts w:hint="eastAsia" w:ascii="宋体" w:hAnsi="宋体"/>
          <w:b/>
          <w:color w:val="auto"/>
          <w:szCs w:val="21"/>
          <w:highlight w:val="none"/>
        </w:rPr>
        <w:t>17.7各投标人应在规定时间内凭CA证书进行网上解密。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18、投标截止日期</w:t>
      </w:r>
      <w:bookmarkEnd w:id="45"/>
      <w:bookmarkEnd w:id="46"/>
      <w:bookmarkEnd w:id="47"/>
    </w:p>
    <w:p>
      <w:pPr>
        <w:spacing w:line="360" w:lineRule="auto"/>
        <w:ind w:firstLine="420" w:firstLineChars="200"/>
        <w:rPr>
          <w:rFonts w:ascii="宋体" w:hAnsi="宋体"/>
          <w:bCs/>
          <w:i/>
          <w:iCs/>
          <w:color w:val="auto"/>
          <w:szCs w:val="21"/>
          <w:highlight w:val="none"/>
          <w:u w:val="single"/>
        </w:rPr>
      </w:pPr>
      <w:r>
        <w:rPr>
          <w:rFonts w:hint="eastAsia" w:ascii="宋体" w:hAnsi="宋体"/>
          <w:bCs/>
          <w:i/>
          <w:iCs/>
          <w:color w:val="auto"/>
          <w:szCs w:val="21"/>
          <w:highlight w:val="none"/>
          <w:u w:val="single"/>
        </w:rPr>
        <w:t>18.1 投标人上传电子投标文件的时间不得迟于招标公告中规定的投标截止时间。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投标人应充分考虑到网络环境、网络带宽等风险因素，如因投标人自身原因造成的电子投标文件上传不成功由投标人自行承担全部责任。</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18.2 代理机构可以按照规定，通过修改招标文件延长投标截止日期，在此情况下，投标人的所有权利和义务以及投标人受制的截止日期均应以延长后新的截止日期为准。</w:t>
      </w:r>
    </w:p>
    <w:p>
      <w:pPr>
        <w:spacing w:line="360" w:lineRule="auto"/>
        <w:ind w:firstLine="422" w:firstLineChars="200"/>
        <w:rPr>
          <w:rFonts w:ascii="宋体" w:hAnsi="宋体"/>
          <w:b/>
          <w:color w:val="auto"/>
          <w:szCs w:val="21"/>
          <w:highlight w:val="none"/>
        </w:rPr>
      </w:pPr>
      <w:bookmarkStart w:id="48" w:name="_Toc20823299"/>
      <w:bookmarkStart w:id="49" w:name="_Toc16938543"/>
      <w:bookmarkStart w:id="50" w:name="_Toc513029227"/>
      <w:r>
        <w:rPr>
          <w:rFonts w:hint="eastAsia" w:ascii="宋体" w:hAnsi="宋体"/>
          <w:b/>
          <w:color w:val="auto"/>
          <w:szCs w:val="21"/>
          <w:highlight w:val="none"/>
        </w:rPr>
        <w:t>19、投标文件</w:t>
      </w:r>
      <w:bookmarkEnd w:id="48"/>
      <w:bookmarkEnd w:id="49"/>
      <w:bookmarkEnd w:id="50"/>
      <w:r>
        <w:rPr>
          <w:rFonts w:hint="eastAsia" w:ascii="宋体" w:hAnsi="宋体"/>
          <w:b/>
          <w:color w:val="auto"/>
          <w:szCs w:val="21"/>
          <w:highlight w:val="none"/>
        </w:rPr>
        <w:t>的拒收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19.1代理机构拒绝接收在其规定的投标截止时间后上传的任何投标文件。</w:t>
      </w:r>
    </w:p>
    <w:p>
      <w:pPr>
        <w:spacing w:line="360" w:lineRule="auto"/>
        <w:ind w:firstLine="422" w:firstLineChars="200"/>
        <w:rPr>
          <w:rFonts w:ascii="宋体" w:hAnsi="宋体"/>
          <w:b/>
          <w:color w:val="auto"/>
          <w:szCs w:val="21"/>
          <w:highlight w:val="none"/>
        </w:rPr>
      </w:pPr>
      <w:bookmarkStart w:id="51" w:name="_Toc16938544"/>
      <w:bookmarkStart w:id="52" w:name="_Toc513029228"/>
      <w:bookmarkStart w:id="53" w:name="_Toc20823300"/>
      <w:r>
        <w:rPr>
          <w:rFonts w:hint="eastAsia" w:ascii="宋体" w:hAnsi="宋体"/>
          <w:b/>
          <w:color w:val="auto"/>
          <w:szCs w:val="21"/>
          <w:highlight w:val="none"/>
        </w:rPr>
        <w:t>20、投标文件的撤回和修改</w:t>
      </w:r>
      <w:bookmarkEnd w:id="51"/>
      <w:bookmarkEnd w:id="52"/>
      <w:bookmarkEnd w:id="5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 投标文件的撤回</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20.1.1 电子投标文件的撤回</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投标人可在投标截止时间前，撤回其电子投标文件，具体操作方法见《操作手册》。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20.1.2 投标人撤回电子投标文件，则认为其不再参与本项目投标活动。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20.2 投标文件的修改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投标人可在投标截止时间前，对其电子投标文件进行修改，具体操作方法见《操作手册》。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20.3 在投标截止时间之后，投标人不得对其电子投标文件作任何修改。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20.4 在投标截止时间至招标文件中规定的投标有效期满之间的这段时间内，投标人不得撤回其投标。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21、开标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21.1 代理机构将在招标公告中规定的时间和地点组织公开开标。投标人应当按照《操作手册》规定，参加开标活动。投标人未参加开标的，视同认可开标结果。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21.2投标人不足3家的，不得开标。</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b/>
          <w:color w:val="auto"/>
          <w:szCs w:val="21"/>
          <w:highlight w:val="none"/>
        </w:rPr>
        <w:t>21.3开标仪式由代理机构主持。“政府采购管理交易系统（苏采云）”将自动对项目进行开标，并宣读各投标人的《开标一览表》。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21.4投标人在开标过程中涉及到的投标文件解密、开标结果确认等工作，应按照《操作手册》规定执行。</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22、评标委员会</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22.1 开标后，代理机构将立即组织评标委员会（以下简称评委会）进行评标。</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22.2 评委会由采购人代表和有关技术、经济等方面的专家组成，且人员构成符合政府采购有关规定。</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22.3评委会独立工作，负责评审所有投标文件并确定中标候选人。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23、评标过程的保密与公正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23.1公开开标后，直至签订合同之日止，凡是与审查、澄清、评价和比较投标的有关资料以及授标建议等，采购人、评委、代理机构工作人员均不得向投标人或与评标无关的其他人员透露。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23.2在评标过程中，投标人不得以任何行为影响评标过程，否则其投标文件将被作为无效投标文件。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23.3 在评标期间，代理机构将设专门工作人员与投标人联系。</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23.4 代理机构和评委会不向未中标的投标人解释未中标原因，也不公布评标过程中的相关细节。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23.5 采用综合评分法的项目，未中标的投标人可于中标结果公告期限届满之日起通过“政府采购管理交易系统（苏采云）”查看自己的评审得分及排序情况。</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24、投标的澄清</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24.1评标期间，为有助于对投标文件的审查、评价和比较，评委会有权以电子函件形式要求投标人对其投标文件进行澄清，但并非对每个投标人都作澄清要求。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24.3 接到评委会澄清要求的投标人如未按规定做出澄清，其风险由投标人自行承担。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25、对投标文件的初审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25.1投标文件初审分为资格审查和符合性审查。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25.1.1资格审查：依据法律法规和招标文件的规定，由采购人对投标文件中的资格证明文件进行审查。并将审查结论以书面形式向评委会反馈。</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若接受联合体投标的项目，两个以上的自然人、法人或者其他组织组成一个联合体，以一个供应商的身份共同参加政府采购活动的,联合体成员存在不良信用记录的，视同联合体存在不良信用记录。</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25.1.2符合性检查：依据招标文件的规定，由评委会从投标文件的有效性、完整性和对招标文件的响应程度进行审查，以确定是否对招标文件的实质性要求作出响应。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25.3如果投标文件实质上没有响应招标文件的要求，评委会将予以拒绝，投标人不得通过修改或撤销不合要求的偏离或保留而使其投标成为实质性响应的投标。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25.4评委会将对确定为实质性响应的投标进行进一步审核，看其是否有计算上或累加上的算术错误，修正错误的原则如下：</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（1）投标文件中开标一览表内容与投标文件中相应内容不一致的，以开标一览表为准。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（2）大写金额与小写金额不一致的，以大写金额为准。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（3）单价金额小数点或者百分比有明显错位的，以开标一览表的总价为准，并修改单价。</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（4）总价金额与按单价汇总金额不一致的，以单价金额计算结果为准。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同时出现两种以上错误的，按照前款规定的顺序修正。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25.5评委会将按上述修正错误的方法调整投标文件中的投标报价，并通过“政府采购管理交易系统（苏采云）”告知投标人，调整后的价格应对投标人具有约束力。如果投标人不接受修正后的价格，则其投标将被拒绝。</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25.6评委会将允许修正投标文件中不构成重大偏离的、微小的、非正规的、不一致的或不规则的地方，但这些修改不能影响任何投标人相应的名次排列。</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25.7 投标人在开、评标全过程中应保持通讯畅通，并安排专人与代理机构及评委会联系。</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26、无效投标、废标及投标人不足三家的处理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26.1无效投标条款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26.1.1 投标人未成功解密电子投标文件的。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26.1.2 投标人未按照招标文件要求上传电子投标文件的。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26.1.3投标人在报价时采用选择性报价的。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26.1.4投标人不具备招标文件中规定资格要求的。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26.1.5投标人的报价超过了采购预算或最高限价的。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26.1.6未通过符合性审查的。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26.1.7不符合招标文件中规定的其他实质性要求和条件的（</w:t>
      </w:r>
      <w:r>
        <w:rPr>
          <w:rFonts w:hint="eastAsia" w:ascii="宋体" w:hAnsi="宋体"/>
          <w:bCs/>
          <w:i/>
          <w:iCs/>
          <w:color w:val="auto"/>
          <w:szCs w:val="21"/>
          <w:highlight w:val="none"/>
          <w:u w:val="single"/>
        </w:rPr>
        <w:t>本招标文件中斜体且有下划线部分为实质性要求和条件</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26.1.9  投标文件含有采购人不能接受的附加条件的。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26.1.11 本项目采购产品被财政部、国家发改委、生态环境部等列入“节能产品品目清单”</w:t>
      </w:r>
      <w:r>
        <w:rPr>
          <w:rFonts w:hint="eastAsia"/>
          <w:color w:val="auto"/>
          <w:highlight w:val="none"/>
        </w:rPr>
        <w:t>、“环境标志产品品目清单”</w:t>
      </w:r>
      <w:r>
        <w:rPr>
          <w:rFonts w:hint="eastAsia" w:ascii="宋体" w:hAnsi="宋体"/>
          <w:bCs/>
          <w:color w:val="auto"/>
          <w:szCs w:val="21"/>
          <w:highlight w:val="none"/>
        </w:rPr>
        <w:t>强制采购范围，而投标人所投标产品不在强制采购范围内的。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26.1.12 投标文件未按照招标文件要求加盖电子签章。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26.1.13其他法律、法规及本招标文件规定的属无效投标的情形。</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26.2废标条款：</w:t>
      </w:r>
    </w:p>
    <w:p>
      <w:pPr>
        <w:spacing w:line="360" w:lineRule="auto"/>
        <w:ind w:left="420" w:leftChars="200"/>
        <w:rPr>
          <w:rFonts w:ascii="宋体" w:hAnsi="宋体"/>
          <w:bCs/>
          <w:color w:val="auto"/>
          <w:szCs w:val="21"/>
          <w:highlight w:val="none"/>
        </w:rPr>
      </w:pPr>
      <w:r>
        <w:rPr>
          <w:rFonts w:hint="eastAsia" w:ascii="宋体" w:hAnsi="宋体"/>
          <w:bCs/>
          <w:color w:val="auto"/>
          <w:szCs w:val="21"/>
          <w:highlight w:val="none"/>
        </w:rPr>
        <w:t>26.2.1符合专业条件的供应商或者对招标文件作实质响应的供应商不足三家的。26.2.2出现影响采购公正的违法、违规行为的。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26.2.3因重大变故，采购任务取消的。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26.2.4评委会认定招标文件存在歧义、重大缺陷导致评审工作无法进行。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26.3 投标截止时间结束后参加投标的供应商不足三家的处理：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26.3.1如出现投标截止时间结束后参加投标的供应商或者在评标期间对招标文件做出实质性响应的供应商不足三家情况，按政府采购相关规定执行。</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27、确定中标单位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27.1评委会根据本招标文件规定评标方法与评标标准向采购人推荐出中标候选人。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27.2 采购人应根据评委会推荐的中标候选人确定中标人。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27.3代理机构将在“扬州市政府采购网”、“江苏省政府采购网”发布中标公告，公告期限为1个工作日。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27.4若有充分证据证明，中标人出现下列情况之一的，一经查实，将被取消中标资格：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27.4.1提供虚假材料谋取中标的；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27.4.2向采购人、代理机构行贿或者提供其他不正当利益的；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27.4.3恶意竞争，投标总报价明显低于其自身合理成本且又无法提供证明的；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27.4.4属于本文件规定的无效条件，但在评标过程中又未被评委会发现的；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27.4.5与采购人或者其他投标人恶意串通的；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27.4.6采取不正当手段诋毁、排挤其他供应商的；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27.4.7不符合法律、法规的规定的。</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 有下列情形之一的，视为投标人串通投标，投标无效：</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27.5.1不同投标人的投标文件由同一单位或者个人编制。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27.5.2不同投标人委托同一单位或者个人办理投标事宜。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27.5.3 不同投标人的投标文件载明的项目管理成员或者联系人员为同一人。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27.5.4不同投标人的投标文件异常一致或者投标报价呈规律性差异。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27.5.5不同投标人的投标文件相互混装。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28、质疑处理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28.1提出质疑的供应商应当是参与所质疑项目采购活动的供应商。潜在供应商依法获取其可质疑的采购文件的，可以对采购文件提出质疑。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对项目需求部分的质疑，潜在供应商应向采购人提出，由采购人负责答复。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28.2投标人认为采购文件、采购过程和中标或成交结果使自己的权益受到损害的，可以在知道或应知其权益受到损害之日起7个工作日内，以书面形式向采购人或代理机构提出质疑。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28.2.1对采购文件提出质疑的，应当在获取采购文件之日或者采购文件公告期限届满之日起7个工作日内提出。</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28.2.2对采购过程提出质疑的，为各采购程序环节结束之日起7个工作日内提出。</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28.2.3对中标结果提出质疑的，为中标结果公告期限届满之日起7个工作日内提出。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28.3供应商应在法定质疑期内一次性提出针对同一采购程序环节的质疑。供应商如在法定期限内对同一采购程序环节提出多次质疑的，代理机构、采购人将只对供应商第一次质疑作出答复。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28.5 代理机构及采购人只接收以纸质原件形式送达的质疑。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采购人质疑接收人及联系方式见招标文件第一章。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28.6代理机构收到质疑申请后，将对质疑的形式和内容进行审查，如质疑内容、格式不符合规定，代理机构将告知质疑人进行补正。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28.7质疑人应当在法定质疑期限内进行补正并重新提交质疑函。</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 以下情形的质疑不予受理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28.8.1 内容不符合《政府采购质疑和投诉办法》第十二条规定的质疑。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28.8.2 超出政府采购法定期限的质疑。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28.8.3 以传真、电子邮件等方式递交的非原件形式的质疑。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28.8.4 未参加投标活动的供应商或在投标活动中自身权益未受到损害的供应商所提出的质疑。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28.8.5供应商组成联合体参加投标，联合体中任何一方或多方未按要求签字、盖章、加盖公章的质疑。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28.10代理机构应当在收到供应商的书面质疑后7个工作日内作出答复，并以书面形式通知质疑供应商和其他有关供应商，但答复的内容不得涉及商业秘密。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29、中标通知书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29.l 中标结果确定后，代理机构将向中标人发出中标通知书。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29.2 中标人可在“政府采购管理交易系统（苏采云）”中标通知书下载模块中自行下载中标通知书。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29.3中标通知书将是合同的一个组成部分。对采购人和中标人均具有法律效力。中标通知书发出后，采购人改变中标结果的，或者中标人放弃中标项目的，应当依法承担法律责任。</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30、 签订合同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30.l中标人应在中标通知书发出之日起三十日内，按照招标文件确定的事项与采购人签订政府采购合同。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30.2 招标文件、中标人的投标文件及招标过程中有关澄清、承诺文件均应作为合同附件。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30.3 合同在“政府采购管理交易系统（苏采云）”中签订，签订合同后，</w:t>
      </w:r>
      <w:r>
        <w:rPr>
          <w:rFonts w:hint="eastAsia" w:ascii="宋体" w:hAnsi="宋体"/>
          <w:bCs/>
          <w:i/>
          <w:iCs/>
          <w:color w:val="auto"/>
          <w:szCs w:val="21"/>
          <w:highlight w:val="none"/>
          <w:u w:val="single"/>
        </w:rPr>
        <w:t>中标人不得将货物或服务及其他服务进行转包</w:t>
      </w:r>
      <w:r>
        <w:rPr>
          <w:rFonts w:hint="eastAsia" w:ascii="宋体" w:hAnsi="宋体"/>
          <w:bCs/>
          <w:color w:val="auto"/>
          <w:szCs w:val="21"/>
          <w:highlight w:val="none"/>
        </w:rPr>
        <w:t>。未经采购人同意，</w:t>
      </w:r>
      <w:r>
        <w:rPr>
          <w:rFonts w:hint="eastAsia" w:ascii="宋体" w:hAnsi="宋体"/>
          <w:bCs/>
          <w:color w:val="auto"/>
          <w:szCs w:val="21"/>
          <w:highlight w:val="none"/>
        </w:rPr>
        <w:t>中标人也不得采用分包的形式履行合同，</w:t>
      </w:r>
      <w:r>
        <w:rPr>
          <w:rFonts w:hint="eastAsia" w:ascii="宋体" w:hAnsi="宋体"/>
          <w:bCs/>
          <w:color w:val="auto"/>
          <w:szCs w:val="21"/>
          <w:highlight w:val="none"/>
        </w:rPr>
        <w:t>否则采购人有权终止合同，中标人的履约保证金将不予退还。转包或分包造成采购人损失的，中标人应承担赔偿责任。</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30.4采购人不得向中标人提出任何不合理的要求作为签订合同的条件，不得与中标人私下订立背离合同实质性内容的协议。所签订的合同不得对招标文件确定事项和中标人投标文件作实质性修改。</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31、电子投标文件要求</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31.1</w:t>
      </w:r>
      <w:r>
        <w:rPr>
          <w:rFonts w:hint="eastAsia" w:ascii="宋体" w:hAnsi="宋体"/>
          <w:b/>
          <w:bCs/>
          <w:color w:val="auto"/>
          <w:szCs w:val="21"/>
          <w:highlight w:val="none"/>
        </w:rPr>
        <w:t>政府采购管理交易系统（苏采云）</w:t>
      </w:r>
      <w:r>
        <w:rPr>
          <w:rFonts w:hint="eastAsia" w:ascii="宋体" w:hAnsi="宋体"/>
          <w:b/>
          <w:color w:val="auto"/>
          <w:szCs w:val="21"/>
          <w:highlight w:val="none"/>
        </w:rPr>
        <w:t>相关要求是本招标文件的组成部分。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31.2投标人应对 CA 证书妥善保管，如被他人盗用投标，因此带来的结果均由投标人自行承担。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31.3投标人应当对招标文件提出的要求和条件作出实质性响应，并在电子投标系统逐条应答。</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31.4投标人应对要求提供的资格证明文件（如资质证书、资格证书）、技术资料（如白皮书、彩页、手册、检测报告等）扫描上传至投标系统。</w:t>
      </w:r>
    </w:p>
    <w:p>
      <w:pPr>
        <w:numPr>
          <w:ilvl w:val="0"/>
          <w:numId w:val="1"/>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提交投标文件的截止时间（投标截止时间）</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32.1投标人应当在招标文件要求提交投标文件的截止时间前，将投标文件提交至“苏采云”系统，逾期提交的投标文件，“苏采云”系统将自动拒收。</w:t>
      </w:r>
    </w:p>
    <w:p>
      <w:pPr>
        <w:spacing w:line="360" w:lineRule="auto"/>
        <w:ind w:left="420" w:leftChars="200"/>
        <w:rPr>
          <w:b/>
          <w:bCs/>
          <w:color w:val="auto"/>
          <w:highlight w:val="none"/>
        </w:rPr>
      </w:pPr>
      <w:r>
        <w:rPr>
          <w:rFonts w:hint="eastAsia" w:ascii="宋体" w:hAnsi="宋体"/>
          <w:b/>
          <w:color w:val="auto"/>
          <w:szCs w:val="21"/>
          <w:highlight w:val="none"/>
        </w:rPr>
        <w:t>32.2各投标人应在规定时间内凭CA证书进行网上解密。</w:t>
      </w:r>
      <w:r>
        <w:rPr>
          <w:color w:val="auto"/>
          <w:highlight w:val="none"/>
        </w:rPr>
        <w:br w:type="textWrapping"/>
      </w:r>
      <w:r>
        <w:rPr>
          <w:rFonts w:hint="eastAsia"/>
          <w:b/>
          <w:bCs/>
          <w:color w:val="auto"/>
          <w:highlight w:val="none"/>
        </w:rPr>
        <w:t>33、其他</w:t>
      </w:r>
    </w:p>
    <w:p>
      <w:pPr>
        <w:spacing w:line="360" w:lineRule="auto"/>
        <w:ind w:firstLine="420" w:firstLineChars="200"/>
        <w:rPr>
          <w:rFonts w:ascii="宋体" w:hAnsi="宋体"/>
          <w:bCs/>
          <w:color w:val="auto"/>
          <w:szCs w:val="21"/>
          <w:highlight w:val="none"/>
        </w:rPr>
      </w:pPr>
      <w:r>
        <w:rPr>
          <w:rFonts w:hint="eastAsia"/>
          <w:color w:val="auto"/>
          <w:highlight w:val="none"/>
        </w:rPr>
        <w:t>33.1 依据《政府采购促进中小企业发展管理办法》享受享受扶持政策获得政府采购合同的，小微企业不得将合同分包给大中型企业，中型企业不得将合同分包给大型企业。</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br w:type="page"/>
      </w:r>
    </w:p>
    <w:p>
      <w:pPr>
        <w:pStyle w:val="7"/>
        <w:jc w:val="center"/>
        <w:rPr>
          <w:rFonts w:ascii="宋体" w:hAnsi="宋体"/>
          <w:color w:val="auto"/>
          <w:szCs w:val="36"/>
          <w:highlight w:val="none"/>
        </w:rPr>
      </w:pPr>
      <w:bookmarkStart w:id="54" w:name="_Toc55204179"/>
      <w:bookmarkStart w:id="55" w:name="_Hlk69392822"/>
      <w:r>
        <w:rPr>
          <w:rFonts w:hint="eastAsia" w:ascii="宋体" w:hAnsi="宋体"/>
          <w:color w:val="auto"/>
          <w:szCs w:val="36"/>
          <w:highlight w:val="none"/>
        </w:rPr>
        <w:t>第三章 合同条款及格式</w:t>
      </w:r>
      <w:bookmarkEnd w:id="54"/>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以下为中标后签定本项目合同的通用条款，中标人不得提出实质性的修改，关于专用条款将由采购人与中标人结合本项目具体情况协商后签订。</w:t>
      </w:r>
    </w:p>
    <w:p>
      <w:pPr>
        <w:pStyle w:val="14"/>
        <w:snapToGrid w:val="0"/>
        <w:spacing w:before="120" w:after="120" w:line="360" w:lineRule="auto"/>
        <w:ind w:firstLine="422" w:firstLineChars="200"/>
        <w:jc w:val="center"/>
        <w:rPr>
          <w:rFonts w:hAnsi="宋体"/>
          <w:b/>
          <w:bCs/>
          <w:color w:val="auto"/>
          <w:sz w:val="21"/>
          <w:highlight w:val="none"/>
        </w:rPr>
      </w:pPr>
      <w:r>
        <w:rPr>
          <w:rFonts w:hint="eastAsia" w:hAnsi="宋体"/>
          <w:b/>
          <w:bCs/>
          <w:color w:val="auto"/>
          <w:sz w:val="21"/>
          <w:highlight w:val="none"/>
        </w:rPr>
        <w:t>扬州市政府采购合同（服务)（合同编号）</w:t>
      </w:r>
    </w:p>
    <w:p>
      <w:pPr>
        <w:spacing w:after="300" w:line="380" w:lineRule="exact"/>
        <w:jc w:val="center"/>
        <w:rPr>
          <w:color w:val="auto"/>
          <w:highlight w:val="none"/>
        </w:rPr>
      </w:pPr>
      <w:r>
        <w:rPr>
          <w:rFonts w:hint="eastAsia" w:ascii="宋体" w:hAnsi="宋体"/>
          <w:b/>
          <w:color w:val="auto"/>
          <w:sz w:val="32"/>
          <w:highlight w:val="none"/>
        </w:rPr>
        <w:t>维保服务合同</w:t>
      </w:r>
    </w:p>
    <w:p>
      <w:pPr>
        <w:spacing w:after="300" w:line="240" w:lineRule="exact"/>
        <w:jc w:val="right"/>
        <w:rPr>
          <w:color w:val="auto"/>
          <w:highlight w:val="none"/>
        </w:rPr>
      </w:pPr>
      <w:r>
        <w:rPr>
          <w:rFonts w:hint="eastAsia" w:ascii="宋体" w:hAnsi="宋体"/>
          <w:color w:val="auto"/>
          <w:sz w:val="20"/>
          <w:highlight w:val="none"/>
        </w:rPr>
        <w:t>合同号：《合同编号》</w:t>
      </w:r>
    </w:p>
    <w:p>
      <w:pPr>
        <w:spacing w:after="300" w:line="200" w:lineRule="exact"/>
        <w:ind w:left="400"/>
        <w:rPr>
          <w:color w:val="auto"/>
          <w:highlight w:val="none"/>
        </w:rPr>
      </w:pPr>
      <w:r>
        <w:rPr>
          <w:rFonts w:hint="eastAsia" w:ascii="宋体" w:hAnsi="宋体"/>
          <w:b/>
          <w:color w:val="auto"/>
          <w:sz w:val="18"/>
          <w:highlight w:val="none"/>
        </w:rPr>
        <w:t>甲方：《合同买方》</w:t>
      </w:r>
      <w:r>
        <w:rPr>
          <w:rFonts w:hint="eastAsia" w:ascii="Arial" w:hAnsi="Arial" w:eastAsia="Arial"/>
          <w:color w:val="auto"/>
          <w:sz w:val="12"/>
          <w:highlight w:val="none"/>
        </w:rPr>
        <w:t xml:space="preserve">                                      </w:t>
      </w:r>
      <w:r>
        <w:rPr>
          <w:rFonts w:ascii="Arial" w:hAnsi="Arial" w:eastAsia="Arial"/>
          <w:color w:val="auto"/>
          <w:sz w:val="12"/>
          <w:highlight w:val="none"/>
        </w:rPr>
        <w:t xml:space="preserve">  </w:t>
      </w:r>
      <w:r>
        <w:rPr>
          <w:rFonts w:hint="eastAsia" w:ascii="Arial" w:hAnsi="Arial" w:eastAsia="Arial"/>
          <w:color w:val="auto"/>
          <w:sz w:val="12"/>
          <w:highlight w:val="none"/>
        </w:rPr>
        <w:t xml:space="preserve">  </w:t>
      </w:r>
      <w:r>
        <w:rPr>
          <w:rFonts w:hint="eastAsia" w:ascii="宋体" w:hAnsi="宋体"/>
          <w:color w:val="auto"/>
          <w:sz w:val="18"/>
          <w:highlight w:val="none"/>
        </w:rPr>
        <w:t>地址：《合同买方地址》</w:t>
      </w:r>
    </w:p>
    <w:p>
      <w:pPr>
        <w:spacing w:after="300" w:line="240" w:lineRule="exact"/>
        <w:ind w:left="400"/>
        <w:rPr>
          <w:color w:val="auto"/>
          <w:highlight w:val="none"/>
        </w:rPr>
      </w:pPr>
      <w:r>
        <w:rPr>
          <w:rFonts w:hint="eastAsia" w:ascii="宋体" w:hAnsi="宋体"/>
          <w:b/>
          <w:color w:val="auto"/>
          <w:sz w:val="20"/>
          <w:highlight w:val="none"/>
        </w:rPr>
        <w:t>联系人及邮箱</w:t>
      </w:r>
      <w:r>
        <w:rPr>
          <w:rFonts w:hint="eastAsia" w:ascii="宋体" w:hAnsi="宋体"/>
          <w:color w:val="auto"/>
          <w:sz w:val="20"/>
          <w:highlight w:val="none"/>
        </w:rPr>
        <w:t>：《合同买方联系人》</w:t>
      </w:r>
      <w:r>
        <w:rPr>
          <w:rFonts w:hint="eastAsia" w:ascii="Arial" w:hAnsi="Arial" w:eastAsia="Arial"/>
          <w:color w:val="auto"/>
          <w:sz w:val="12"/>
          <w:highlight w:val="none"/>
        </w:rPr>
        <w:t xml:space="preserve">                </w:t>
      </w:r>
      <w:r>
        <w:rPr>
          <w:rFonts w:hint="eastAsia" w:ascii="宋体" w:hAnsi="宋体"/>
          <w:b/>
          <w:color w:val="auto"/>
          <w:sz w:val="20"/>
          <w:highlight w:val="none"/>
        </w:rPr>
        <w:t>电话</w:t>
      </w:r>
      <w:r>
        <w:rPr>
          <w:rFonts w:hint="eastAsia" w:ascii="宋体" w:hAnsi="宋体"/>
          <w:color w:val="auto"/>
          <w:sz w:val="20"/>
          <w:highlight w:val="none"/>
        </w:rPr>
        <w:t>：《合同买方联系方式》</w:t>
      </w:r>
    </w:p>
    <w:p>
      <w:pPr>
        <w:spacing w:after="300" w:line="200" w:lineRule="exact"/>
        <w:ind w:left="400"/>
        <w:rPr>
          <w:rFonts w:hint="eastAsia"/>
          <w:color w:val="auto"/>
          <w:highlight w:val="none"/>
        </w:rPr>
      </w:pPr>
      <w:r>
        <w:rPr>
          <w:rFonts w:hint="eastAsia" w:ascii="宋体" w:hAnsi="宋体"/>
          <w:b/>
          <w:color w:val="auto"/>
          <w:sz w:val="20"/>
          <w:highlight w:val="none"/>
        </w:rPr>
        <w:t>乙方：</w:t>
      </w:r>
      <w:r>
        <w:rPr>
          <w:rFonts w:hint="eastAsia" w:ascii="宋体" w:hAnsi="宋体"/>
          <w:b/>
          <w:color w:val="auto"/>
          <w:sz w:val="18"/>
          <w:highlight w:val="none"/>
        </w:rPr>
        <w:t>《合同卖方》</w:t>
      </w:r>
      <w:r>
        <w:rPr>
          <w:rFonts w:hint="eastAsia" w:ascii="Arial" w:hAnsi="Arial" w:eastAsia="Arial"/>
          <w:color w:val="auto"/>
          <w:sz w:val="12"/>
          <w:highlight w:val="none"/>
        </w:rPr>
        <w:t xml:space="preserve">  </w:t>
      </w:r>
      <w:r>
        <w:rPr>
          <w:rFonts w:ascii="Arial" w:hAnsi="Arial" w:eastAsia="Arial"/>
          <w:color w:val="auto"/>
          <w:sz w:val="12"/>
          <w:highlight w:val="none"/>
        </w:rPr>
        <w:t xml:space="preserve">                                        </w:t>
      </w:r>
      <w:r>
        <w:rPr>
          <w:rFonts w:hint="eastAsia" w:ascii="宋体" w:hAnsi="宋体"/>
          <w:color w:val="auto"/>
          <w:sz w:val="20"/>
          <w:highlight w:val="none"/>
        </w:rPr>
        <w:t>地址：</w:t>
      </w:r>
      <w:r>
        <w:rPr>
          <w:color w:val="auto"/>
          <w:highlight w:val="none"/>
        </w:rPr>
        <w:t xml:space="preserve"> </w:t>
      </w:r>
      <w:r>
        <w:rPr>
          <w:rFonts w:hint="eastAsia" w:ascii="宋体" w:hAnsi="宋体"/>
          <w:color w:val="auto"/>
          <w:sz w:val="18"/>
          <w:highlight w:val="none"/>
        </w:rPr>
        <w:t>《合同买卖地址》</w:t>
      </w:r>
    </w:p>
    <w:p>
      <w:pPr>
        <w:spacing w:after="300" w:line="240" w:lineRule="exact"/>
        <w:ind w:left="400"/>
        <w:rPr>
          <w:rFonts w:ascii="宋体" w:hAnsi="宋体"/>
          <w:b/>
          <w:color w:val="auto"/>
          <w:sz w:val="20"/>
          <w:highlight w:val="none"/>
        </w:rPr>
      </w:pPr>
      <w:r>
        <w:rPr>
          <w:rFonts w:hint="eastAsia" w:ascii="宋体" w:hAnsi="宋体"/>
          <w:b/>
          <w:color w:val="auto"/>
          <w:sz w:val="20"/>
          <w:highlight w:val="none"/>
        </w:rPr>
        <w:t>联系人及邮箱</w:t>
      </w:r>
      <w:r>
        <w:rPr>
          <w:rFonts w:hint="eastAsia" w:ascii="宋体" w:hAnsi="宋体"/>
          <w:color w:val="auto"/>
          <w:sz w:val="20"/>
          <w:highlight w:val="none"/>
        </w:rPr>
        <w:t>：《合同卖方联系人》</w:t>
      </w:r>
      <w:r>
        <w:rPr>
          <w:rFonts w:hint="eastAsia" w:ascii="Arial" w:hAnsi="Arial" w:eastAsia="Arial"/>
          <w:color w:val="auto"/>
          <w:sz w:val="12"/>
          <w:highlight w:val="none"/>
        </w:rPr>
        <w:t xml:space="preserve">                </w:t>
      </w:r>
      <w:r>
        <w:rPr>
          <w:rFonts w:hint="eastAsia" w:ascii="宋体" w:hAnsi="宋体"/>
          <w:color w:val="auto"/>
          <w:sz w:val="20"/>
          <w:highlight w:val="none"/>
        </w:rPr>
        <w:t>电话</w:t>
      </w:r>
      <w:r>
        <w:rPr>
          <w:rFonts w:hint="eastAsia" w:ascii="宋体" w:hAnsi="宋体"/>
          <w:b/>
          <w:color w:val="auto"/>
          <w:sz w:val="20"/>
          <w:highlight w:val="none"/>
        </w:rPr>
        <w:t>：《合同卖方联系方式》</w:t>
      </w:r>
    </w:p>
    <w:p>
      <w:pPr>
        <w:spacing w:after="300" w:line="240" w:lineRule="exact"/>
        <w:ind w:left="400"/>
        <w:rPr>
          <w:color w:val="auto"/>
          <w:highlight w:val="none"/>
        </w:rPr>
      </w:pPr>
      <w:r>
        <w:rPr>
          <w:rFonts w:hint="eastAsia" w:ascii="宋体" w:hAnsi="宋体"/>
          <w:color w:val="auto"/>
          <w:sz w:val="20"/>
          <w:highlight w:val="none"/>
        </w:rPr>
        <w:t>根据《中华人民共和国民法典》及其他相关法律法规的规定，甲乙双方在平等、自愿的基础上，就提供设备维修保养服务达成如下共识：</w:t>
      </w:r>
    </w:p>
    <w:p>
      <w:pPr>
        <w:spacing w:after="240" w:line="260" w:lineRule="exact"/>
        <w:ind w:firstLine="400"/>
        <w:jc w:val="left"/>
        <w:rPr>
          <w:color w:val="auto"/>
          <w:highlight w:val="none"/>
        </w:rPr>
      </w:pPr>
      <w:r>
        <w:rPr>
          <w:rFonts w:hint="eastAsia" w:ascii="宋体" w:hAnsi="宋体"/>
          <w:b/>
          <w:color w:val="auto"/>
          <w:sz w:val="22"/>
          <w:highlight w:val="none"/>
        </w:rPr>
        <w:t>1．维保服务所保设备及服务期限、价格</w:t>
      </w:r>
    </w:p>
    <w:tbl>
      <w:tblPr>
        <w:tblStyle w:val="20"/>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3"/>
        <w:gridCol w:w="1954"/>
        <w:gridCol w:w="1160"/>
        <w:gridCol w:w="1160"/>
        <w:gridCol w:w="1669"/>
        <w:gridCol w:w="201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740" w:type="dxa"/>
            <w:vAlign w:val="center"/>
          </w:tcPr>
          <w:p>
            <w:pPr>
              <w:spacing w:line="200" w:lineRule="exact"/>
              <w:jc w:val="center"/>
              <w:rPr>
                <w:color w:val="auto"/>
                <w:highlight w:val="none"/>
              </w:rPr>
            </w:pPr>
            <w:r>
              <w:rPr>
                <w:rFonts w:hint="eastAsia" w:ascii="宋体" w:hAnsi="宋体"/>
                <w:color w:val="auto"/>
                <w:sz w:val="16"/>
                <w:highlight w:val="none"/>
              </w:rPr>
              <w:t>序号</w:t>
            </w:r>
          </w:p>
        </w:tc>
        <w:tc>
          <w:tcPr>
            <w:tcW w:w="1920" w:type="dxa"/>
            <w:vAlign w:val="center"/>
          </w:tcPr>
          <w:p>
            <w:pPr>
              <w:spacing w:line="228" w:lineRule="exact"/>
              <w:jc w:val="center"/>
              <w:rPr>
                <w:color w:val="auto"/>
                <w:highlight w:val="none"/>
              </w:rPr>
            </w:pPr>
            <w:r>
              <w:rPr>
                <w:rFonts w:hint="eastAsia" w:ascii="宋体" w:hAnsi="宋体"/>
                <w:color w:val="auto"/>
                <w:sz w:val="16"/>
                <w:highlight w:val="none"/>
              </w:rPr>
              <w:t>设备名称</w:t>
            </w:r>
          </w:p>
        </w:tc>
        <w:tc>
          <w:tcPr>
            <w:tcW w:w="1140" w:type="dxa"/>
            <w:vAlign w:val="center"/>
          </w:tcPr>
          <w:p>
            <w:pPr>
              <w:spacing w:line="228" w:lineRule="exact"/>
              <w:jc w:val="center"/>
              <w:rPr>
                <w:color w:val="auto"/>
                <w:highlight w:val="none"/>
              </w:rPr>
            </w:pPr>
            <w:r>
              <w:rPr>
                <w:rFonts w:hint="eastAsia" w:ascii="宋体" w:hAnsi="宋体"/>
                <w:color w:val="auto"/>
                <w:sz w:val="16"/>
                <w:highlight w:val="none"/>
              </w:rPr>
              <w:t>序列号</w:t>
            </w:r>
          </w:p>
        </w:tc>
        <w:tc>
          <w:tcPr>
            <w:tcW w:w="1140" w:type="dxa"/>
          </w:tcPr>
          <w:p>
            <w:pPr>
              <w:spacing w:before="76" w:line="218" w:lineRule="exact"/>
              <w:jc w:val="center"/>
              <w:rPr>
                <w:color w:val="auto"/>
                <w:highlight w:val="none"/>
              </w:rPr>
            </w:pPr>
            <w:r>
              <w:rPr>
                <w:rFonts w:hint="eastAsia" w:ascii="宋体" w:hAnsi="宋体"/>
                <w:color w:val="auto"/>
                <w:sz w:val="16"/>
                <w:highlight w:val="none"/>
              </w:rPr>
              <w:t>最终用户</w:t>
            </w:r>
          </w:p>
        </w:tc>
        <w:tc>
          <w:tcPr>
            <w:tcW w:w="1640" w:type="dxa"/>
            <w:vAlign w:val="center"/>
          </w:tcPr>
          <w:p>
            <w:pPr>
              <w:spacing w:line="228" w:lineRule="exact"/>
              <w:jc w:val="center"/>
              <w:rPr>
                <w:color w:val="auto"/>
                <w:highlight w:val="none"/>
              </w:rPr>
            </w:pPr>
            <w:r>
              <w:rPr>
                <w:rFonts w:hint="eastAsia" w:ascii="宋体" w:hAnsi="宋体"/>
                <w:color w:val="auto"/>
                <w:sz w:val="16"/>
                <w:highlight w:val="none"/>
              </w:rPr>
              <w:t>服务类型</w:t>
            </w:r>
          </w:p>
        </w:tc>
        <w:tc>
          <w:tcPr>
            <w:tcW w:w="1980" w:type="dxa"/>
            <w:vAlign w:val="center"/>
          </w:tcPr>
          <w:p>
            <w:pPr>
              <w:spacing w:line="214" w:lineRule="exact"/>
              <w:jc w:val="center"/>
              <w:rPr>
                <w:color w:val="auto"/>
                <w:highlight w:val="none"/>
              </w:rPr>
            </w:pPr>
            <w:r>
              <w:rPr>
                <w:rFonts w:hint="eastAsia" w:ascii="宋体" w:hAnsi="宋体"/>
                <w:color w:val="auto"/>
                <w:sz w:val="16"/>
                <w:highlight w:val="none"/>
              </w:rPr>
              <w:t>维保服务期限</w:t>
            </w:r>
          </w:p>
        </w:tc>
        <w:tc>
          <w:tcPr>
            <w:tcW w:w="1560" w:type="dxa"/>
          </w:tcPr>
          <w:p>
            <w:pPr>
              <w:spacing w:before="35" w:line="300" w:lineRule="exact"/>
              <w:jc w:val="center"/>
              <w:rPr>
                <w:color w:val="auto"/>
                <w:highlight w:val="none"/>
              </w:rPr>
            </w:pPr>
            <w:r>
              <w:rPr>
                <w:rFonts w:hint="eastAsia" w:ascii="宋体" w:hAnsi="宋体"/>
                <w:color w:val="auto"/>
                <w:sz w:val="22"/>
                <w:highlight w:val="none"/>
              </w:rPr>
              <w:t>维保价格</w:t>
            </w:r>
          </w:p>
          <w:p>
            <w:pPr>
              <w:spacing w:before="122" w:line="280" w:lineRule="exact"/>
              <w:jc w:val="center"/>
              <w:rPr>
                <w:color w:val="auto"/>
                <w:highlight w:val="none"/>
              </w:rPr>
            </w:pPr>
            <w:r>
              <w:rPr>
                <w:rFonts w:hint="eastAsia" w:ascii="宋体" w:hAnsi="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trPr>
        <w:tc>
          <w:tcPr>
            <w:tcW w:w="740" w:type="dxa"/>
            <w:vAlign w:val="center"/>
          </w:tcPr>
          <w:p>
            <w:pPr>
              <w:spacing w:before="520" w:line="210" w:lineRule="exact"/>
              <w:jc w:val="center"/>
              <w:rPr>
                <w:color w:val="auto"/>
                <w:highlight w:val="none"/>
              </w:rPr>
            </w:pPr>
            <w:r>
              <w:rPr>
                <w:rFonts w:hint="eastAsia" w:ascii="宋体" w:hAnsi="宋体"/>
                <w:color w:val="auto"/>
                <w:sz w:val="16"/>
                <w:highlight w:val="none"/>
              </w:rPr>
              <w:t>1</w:t>
            </w:r>
          </w:p>
        </w:tc>
        <w:tc>
          <w:tcPr>
            <w:tcW w:w="1920" w:type="dxa"/>
          </w:tcPr>
          <w:p>
            <w:pPr>
              <w:spacing w:before="60" w:line="250" w:lineRule="exact"/>
              <w:jc w:val="center"/>
              <w:rPr>
                <w:color w:val="auto"/>
                <w:highlight w:val="none"/>
              </w:rPr>
            </w:pPr>
            <w:r>
              <w:rPr>
                <w:rFonts w:hint="eastAsia" w:ascii="宋体" w:hAnsi="宋体"/>
                <w:color w:val="auto"/>
                <w:sz w:val="15"/>
                <w:highlight w:val="none"/>
              </w:rPr>
              <w:t>X射线计算机体层</w:t>
            </w:r>
          </w:p>
          <w:p>
            <w:pPr>
              <w:spacing w:before="64" w:line="225" w:lineRule="exact"/>
              <w:jc w:val="center"/>
              <w:rPr>
                <w:color w:val="auto"/>
                <w:highlight w:val="none"/>
              </w:rPr>
            </w:pPr>
            <w:r>
              <w:rPr>
                <w:rFonts w:hint="eastAsia" w:ascii="宋体" w:hAnsi="宋体"/>
                <w:color w:val="auto"/>
                <w:sz w:val="15"/>
                <w:highlight w:val="none"/>
              </w:rPr>
              <w:t>摄影设备《设备型</w:t>
            </w:r>
          </w:p>
          <w:p>
            <w:pPr>
              <w:spacing w:before="107" w:line="280" w:lineRule="exact"/>
              <w:jc w:val="center"/>
              <w:rPr>
                <w:color w:val="auto"/>
                <w:highlight w:val="none"/>
              </w:rPr>
            </w:pPr>
            <w:r>
              <w:rPr>
                <w:rFonts w:hint="eastAsia" w:ascii="宋体" w:hAnsi="宋体"/>
                <w:color w:val="auto"/>
                <w:sz w:val="17"/>
                <w:highlight w:val="none"/>
              </w:rPr>
              <w:t>号》</w:t>
            </w:r>
          </w:p>
        </w:tc>
        <w:tc>
          <w:tcPr>
            <w:tcW w:w="1140" w:type="dxa"/>
          </w:tcPr>
          <w:p>
            <w:pPr>
              <w:spacing w:before="282" w:line="280" w:lineRule="exact"/>
              <w:jc w:val="center"/>
              <w:rPr>
                <w:color w:val="auto"/>
                <w:highlight w:val="none"/>
              </w:rPr>
            </w:pPr>
            <w:r>
              <w:rPr>
                <w:rFonts w:hint="eastAsia" w:ascii="宋体" w:hAnsi="宋体"/>
                <w:color w:val="auto"/>
                <w:sz w:val="22"/>
                <w:highlight w:val="none"/>
              </w:rPr>
              <w:t>《主机序</w:t>
            </w:r>
          </w:p>
          <w:p>
            <w:pPr>
              <w:spacing w:before="123" w:line="280" w:lineRule="exact"/>
              <w:jc w:val="center"/>
              <w:rPr>
                <w:color w:val="auto"/>
                <w:highlight w:val="none"/>
              </w:rPr>
            </w:pPr>
            <w:r>
              <w:rPr>
                <w:rFonts w:hint="eastAsia" w:ascii="宋体" w:hAnsi="宋体"/>
                <w:color w:val="auto"/>
                <w:sz w:val="17"/>
                <w:highlight w:val="none"/>
              </w:rPr>
              <w:t>列号》</w:t>
            </w:r>
          </w:p>
        </w:tc>
        <w:tc>
          <w:tcPr>
            <w:tcW w:w="1140" w:type="dxa"/>
          </w:tcPr>
          <w:p>
            <w:pPr>
              <w:spacing w:before="72" w:line="225" w:lineRule="exact"/>
              <w:jc w:val="center"/>
              <w:rPr>
                <w:color w:val="auto"/>
                <w:highlight w:val="none"/>
              </w:rPr>
            </w:pPr>
            <w:r>
              <w:rPr>
                <w:rFonts w:hint="eastAsia" w:ascii="宋体" w:hAnsi="宋体"/>
                <w:color w:val="auto"/>
                <w:sz w:val="15"/>
                <w:highlight w:val="none"/>
              </w:rPr>
              <w:t>《最终用户</w:t>
            </w:r>
          </w:p>
        </w:tc>
        <w:tc>
          <w:tcPr>
            <w:tcW w:w="1640" w:type="dxa"/>
          </w:tcPr>
          <w:p>
            <w:pPr>
              <w:spacing w:before="301" w:line="241" w:lineRule="exact"/>
              <w:jc w:val="center"/>
              <w:rPr>
                <w:color w:val="auto"/>
                <w:highlight w:val="none"/>
              </w:rPr>
            </w:pPr>
            <w:r>
              <w:rPr>
                <w:rFonts w:hint="eastAsia" w:ascii="宋体" w:hAnsi="宋体"/>
                <w:color w:val="auto"/>
                <w:sz w:val="19"/>
                <w:highlight w:val="none"/>
              </w:rPr>
              <w:t>保养服务（焕</w:t>
            </w:r>
          </w:p>
          <w:p>
            <w:pPr>
              <w:spacing w:before="123" w:line="280" w:lineRule="exact"/>
              <w:jc w:val="center"/>
              <w:rPr>
                <w:color w:val="auto"/>
                <w:highlight w:val="none"/>
              </w:rPr>
            </w:pPr>
            <w:r>
              <w:rPr>
                <w:rFonts w:hint="eastAsia" w:ascii="宋体" w:hAnsi="宋体"/>
                <w:color w:val="auto"/>
                <w:sz w:val="22"/>
                <w:highlight w:val="none"/>
              </w:rPr>
              <w:t>新保）</w:t>
            </w:r>
          </w:p>
        </w:tc>
        <w:tc>
          <w:tcPr>
            <w:tcW w:w="1980" w:type="dxa"/>
          </w:tcPr>
          <w:p>
            <w:pPr>
              <w:spacing w:before="294" w:line="229" w:lineRule="exact"/>
              <w:jc w:val="center"/>
              <w:rPr>
                <w:color w:val="auto"/>
                <w:highlight w:val="none"/>
              </w:rPr>
            </w:pPr>
            <w:r>
              <w:rPr>
                <w:rFonts w:hint="eastAsia" w:ascii="宋体" w:hAnsi="宋体"/>
                <w:color w:val="auto"/>
                <w:sz w:val="13"/>
                <w:highlight w:val="none"/>
              </w:rPr>
              <w:t>《保修开始日期》至</w:t>
            </w:r>
          </w:p>
          <w:p>
            <w:pPr>
              <w:spacing w:before="91" w:line="229" w:lineRule="exact"/>
              <w:jc w:val="center"/>
              <w:rPr>
                <w:color w:val="auto"/>
                <w:highlight w:val="none"/>
              </w:rPr>
            </w:pPr>
            <w:r>
              <w:rPr>
                <w:rFonts w:hint="eastAsia" w:ascii="宋体" w:hAnsi="宋体"/>
                <w:color w:val="auto"/>
                <w:sz w:val="13"/>
                <w:highlight w:val="none"/>
              </w:rPr>
              <w:t>《保修结束日期》</w:t>
            </w:r>
          </w:p>
        </w:tc>
        <w:tc>
          <w:tcPr>
            <w:tcW w:w="1560" w:type="dxa"/>
          </w:tcPr>
          <w:p>
            <w:pPr>
              <w:spacing w:before="290" w:line="236" w:lineRule="exact"/>
              <w:jc w:val="center"/>
              <w:rPr>
                <w:color w:val="auto"/>
                <w:highlight w:val="none"/>
              </w:rPr>
            </w:pPr>
            <w:r>
              <w:rPr>
                <w:rFonts w:hint="eastAsia" w:ascii="宋体" w:hAnsi="宋体"/>
                <w:color w:val="auto"/>
                <w:sz w:val="15"/>
                <w:highlight w:val="none"/>
              </w:rPr>
              <w:t>《合同金额</w:t>
            </w:r>
          </w:p>
          <w:p>
            <w:pPr>
              <w:spacing w:before="121" w:line="286" w:lineRule="exact"/>
              <w:jc w:val="center"/>
              <w:rPr>
                <w:color w:val="auto"/>
                <w:highlight w:val="none"/>
              </w:rPr>
            </w:pPr>
            <w:r>
              <w:rPr>
                <w:rFonts w:hint="eastAsia" w:ascii="宋体" w:hAnsi="宋体"/>
                <w:color w:val="auto"/>
                <w:highlight w:val="none"/>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trPr>
        <w:tc>
          <w:tcPr>
            <w:tcW w:w="740" w:type="dxa"/>
            <w:vAlign w:val="center"/>
          </w:tcPr>
          <w:p>
            <w:pPr>
              <w:spacing w:before="539" w:line="210" w:lineRule="exact"/>
              <w:jc w:val="center"/>
              <w:rPr>
                <w:color w:val="auto"/>
                <w:highlight w:val="none"/>
              </w:rPr>
            </w:pPr>
            <w:r>
              <w:rPr>
                <w:rFonts w:hint="eastAsia" w:ascii="宋体" w:hAnsi="宋体"/>
                <w:color w:val="auto"/>
                <w:sz w:val="16"/>
                <w:highlight w:val="none"/>
              </w:rPr>
              <w:t>2</w:t>
            </w:r>
          </w:p>
        </w:tc>
        <w:tc>
          <w:tcPr>
            <w:tcW w:w="1920" w:type="dxa"/>
            <w:vAlign w:val="center"/>
          </w:tcPr>
          <w:p>
            <w:pPr>
              <w:spacing w:before="535" w:line="195" w:lineRule="exact"/>
              <w:jc w:val="center"/>
              <w:rPr>
                <w:color w:val="auto"/>
                <w:highlight w:val="none"/>
              </w:rPr>
            </w:pPr>
            <w:r>
              <w:rPr>
                <w:rFonts w:hint="eastAsia" w:ascii="宋体" w:hAnsi="宋体"/>
                <w:color w:val="auto"/>
                <w:sz w:val="13"/>
                <w:highlight w:val="none"/>
              </w:rPr>
              <w:t>选择一项。</w:t>
            </w:r>
          </w:p>
        </w:tc>
        <w:tc>
          <w:tcPr>
            <w:tcW w:w="1140" w:type="dxa"/>
            <w:vAlign w:val="center"/>
          </w:tcPr>
          <w:p>
            <w:pPr>
              <w:jc w:val="center"/>
              <w:rPr>
                <w:color w:val="auto"/>
                <w:highlight w:val="none"/>
              </w:rPr>
            </w:pPr>
          </w:p>
        </w:tc>
        <w:tc>
          <w:tcPr>
            <w:tcW w:w="1140" w:type="dxa"/>
            <w:vAlign w:val="center"/>
          </w:tcPr>
          <w:p>
            <w:pPr>
              <w:jc w:val="center"/>
              <w:rPr>
                <w:color w:val="auto"/>
                <w:highlight w:val="none"/>
              </w:rPr>
            </w:pPr>
          </w:p>
        </w:tc>
        <w:tc>
          <w:tcPr>
            <w:tcW w:w="1640" w:type="dxa"/>
            <w:vAlign w:val="center"/>
          </w:tcPr>
          <w:p>
            <w:pPr>
              <w:spacing w:before="534" w:line="195" w:lineRule="exact"/>
              <w:jc w:val="center"/>
              <w:rPr>
                <w:color w:val="auto"/>
                <w:highlight w:val="none"/>
              </w:rPr>
            </w:pPr>
            <w:r>
              <w:rPr>
                <w:rFonts w:hint="eastAsia" w:ascii="宋体" w:hAnsi="宋体"/>
                <w:color w:val="auto"/>
                <w:sz w:val="13"/>
                <w:highlight w:val="none"/>
              </w:rPr>
              <w:t>选择一项。</w:t>
            </w:r>
          </w:p>
        </w:tc>
        <w:tc>
          <w:tcPr>
            <w:tcW w:w="1980" w:type="dxa"/>
          </w:tcPr>
          <w:p>
            <w:pPr>
              <w:spacing w:before="151" w:line="144" w:lineRule="exact"/>
              <w:jc w:val="center"/>
              <w:rPr>
                <w:color w:val="auto"/>
                <w:highlight w:val="none"/>
              </w:rPr>
            </w:pPr>
            <w:r>
              <w:rPr>
                <w:rFonts w:hint="eastAsia" w:ascii="宋体" w:hAnsi="宋体"/>
                <w:color w:val="auto"/>
                <w:sz w:val="13"/>
                <w:highlight w:val="none"/>
              </w:rPr>
              <w:t>【】年【】月【】</w:t>
            </w:r>
          </w:p>
          <w:p>
            <w:pPr>
              <w:spacing w:before="173" w:line="250" w:lineRule="exact"/>
              <w:jc w:val="center"/>
              <w:rPr>
                <w:color w:val="auto"/>
                <w:highlight w:val="none"/>
              </w:rPr>
            </w:pPr>
            <w:r>
              <w:rPr>
                <w:rFonts w:hint="eastAsia" w:ascii="宋体" w:hAnsi="宋体"/>
                <w:color w:val="auto"/>
                <w:sz w:val="15"/>
                <w:highlight w:val="none"/>
              </w:rPr>
              <w:t>日至【】年【】月</w:t>
            </w:r>
          </w:p>
          <w:p>
            <w:pPr>
              <w:spacing w:before="76" w:line="300" w:lineRule="exact"/>
              <w:jc w:val="center"/>
              <w:rPr>
                <w:color w:val="auto"/>
                <w:highlight w:val="none"/>
              </w:rPr>
            </w:pPr>
            <w:r>
              <w:rPr>
                <w:rFonts w:hint="eastAsia" w:ascii="宋体" w:hAnsi="宋体"/>
                <w:color w:val="auto"/>
                <w:sz w:val="19"/>
                <w:highlight w:val="none"/>
              </w:rPr>
              <w:t>【】日</w:t>
            </w:r>
          </w:p>
        </w:tc>
        <w:tc>
          <w:tcPr>
            <w:tcW w:w="1560"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3" w:hRule="atLeast"/>
        </w:trPr>
        <w:tc>
          <w:tcPr>
            <w:tcW w:w="10120" w:type="dxa"/>
            <w:gridSpan w:val="7"/>
          </w:tcPr>
          <w:p>
            <w:pPr>
              <w:spacing w:before="7" w:line="302" w:lineRule="exact"/>
              <w:jc w:val="left"/>
              <w:rPr>
                <w:color w:val="auto"/>
                <w:highlight w:val="none"/>
              </w:rPr>
            </w:pPr>
            <w:r>
              <w:rPr>
                <w:rFonts w:hint="eastAsia" w:ascii="宋体" w:hAnsi="宋体"/>
                <w:color w:val="auto"/>
                <w:sz w:val="17"/>
                <w:highlight w:val="none"/>
              </w:rPr>
              <w:t>服务费用总价：人民币【《合同金额（含税）》】元（大写：【】元整）其中，硬件维护服务价格：人民币</w:t>
            </w:r>
          </w:p>
          <w:p>
            <w:pPr>
              <w:spacing w:before="59" w:line="283" w:lineRule="exact"/>
              <w:jc w:val="left"/>
              <w:rPr>
                <w:color w:val="auto"/>
                <w:highlight w:val="none"/>
              </w:rPr>
            </w:pPr>
            <w:r>
              <w:rPr>
                <w:rFonts w:hint="eastAsia" w:ascii="宋体" w:hAnsi="宋体"/>
                <w:color w:val="auto"/>
                <w:sz w:val="17"/>
                <w:highlight w:val="none"/>
              </w:rPr>
              <w:t>【《硬件金额》】元（大写：【】元整）；软件维护服务价格：人民币【《软件金额》】元（大写：【】元整）。</w:t>
            </w:r>
          </w:p>
          <w:p>
            <w:pPr>
              <w:spacing w:before="52" w:line="250" w:lineRule="exact"/>
              <w:jc w:val="left"/>
              <w:rPr>
                <w:color w:val="auto"/>
                <w:highlight w:val="none"/>
              </w:rPr>
            </w:pPr>
            <w:r>
              <w:rPr>
                <w:rFonts w:hint="eastAsia" w:ascii="宋体" w:hAnsi="宋体"/>
                <w:color w:val="auto"/>
                <w:sz w:val="15"/>
                <w:highlight w:val="none"/>
              </w:rPr>
              <w:t>甲方知悉并同意：以上服务费用总价是基于甲方向乙方采购【3】年期的维保服务，乙方给予了甲方一定的</w:t>
            </w:r>
          </w:p>
          <w:p>
            <w:pPr>
              <w:spacing w:before="55" w:line="250" w:lineRule="exact"/>
              <w:jc w:val="left"/>
              <w:rPr>
                <w:color w:val="auto"/>
                <w:highlight w:val="none"/>
              </w:rPr>
            </w:pPr>
            <w:r>
              <w:rPr>
                <w:rFonts w:hint="eastAsia" w:ascii="宋体" w:hAnsi="宋体"/>
                <w:color w:val="auto"/>
                <w:sz w:val="15"/>
                <w:highlight w:val="none"/>
              </w:rPr>
              <w:t>价格优惠，因此，如甲方向乙方提出提前终止本合同的，则乙方有权要求甲方按照乙方标准市场价格结算合</w:t>
            </w:r>
          </w:p>
          <w:p>
            <w:pPr>
              <w:spacing w:before="56" w:line="225" w:lineRule="exact"/>
              <w:jc w:val="left"/>
              <w:rPr>
                <w:color w:val="auto"/>
                <w:highlight w:val="none"/>
              </w:rPr>
            </w:pPr>
            <w:r>
              <w:rPr>
                <w:rFonts w:hint="eastAsia" w:ascii="宋体" w:hAnsi="宋体"/>
                <w:color w:val="auto"/>
                <w:sz w:val="15"/>
                <w:highlight w:val="none"/>
              </w:rPr>
              <w:t>同终止前的服务费用。</w:t>
            </w:r>
          </w:p>
        </w:tc>
      </w:tr>
    </w:tbl>
    <w:p>
      <w:pPr>
        <w:spacing w:before="120" w:after="160" w:line="240" w:lineRule="exact"/>
        <w:ind w:firstLine="400"/>
        <w:jc w:val="left"/>
        <w:rPr>
          <w:color w:val="auto"/>
          <w:highlight w:val="none"/>
        </w:rPr>
      </w:pPr>
      <w:r>
        <w:rPr>
          <w:rFonts w:hint="eastAsia" w:ascii="宋体" w:hAnsi="宋体"/>
          <w:i/>
          <w:color w:val="auto"/>
          <w:sz w:val="20"/>
          <w:highlight w:val="none"/>
        </w:rPr>
        <w:t>［针对限扫描的CT设备，请选择以下服务期限条款并填写在“维保服务期限”列中</w:t>
      </w:r>
    </w:p>
    <w:p>
      <w:pPr>
        <w:spacing w:after="300" w:line="240" w:lineRule="exact"/>
        <w:ind w:firstLine="400"/>
        <w:rPr>
          <w:color w:val="auto"/>
          <w:highlight w:val="none"/>
        </w:rPr>
      </w:pPr>
      <w:r>
        <w:rPr>
          <w:rFonts w:hint="eastAsia" w:ascii="宋体" w:hAnsi="宋体"/>
          <w:color w:val="auto"/>
          <w:sz w:val="20"/>
          <w:highlight w:val="none"/>
        </w:rPr>
        <w:t>【】年【】月【】日（起始扫描秒数：【】）起至【】扫描秒，但最长不超过【】个月，以先到值为准。</w:t>
      </w:r>
    </w:p>
    <w:p>
      <w:pPr>
        <w:spacing w:after="220" w:line="300" w:lineRule="exact"/>
        <w:rPr>
          <w:rFonts w:ascii="宋体" w:hAnsi="宋体"/>
          <w:color w:val="auto"/>
          <w:sz w:val="20"/>
          <w:highlight w:val="none"/>
        </w:rPr>
      </w:pPr>
      <w:r>
        <w:rPr>
          <w:rFonts w:hint="eastAsia" w:ascii="宋体" w:hAnsi="宋体"/>
          <w:color w:val="auto"/>
          <w:sz w:val="20"/>
          <w:highlight w:val="none"/>
        </w:rPr>
        <w:t>2．维保服务</w:t>
      </w:r>
    </w:p>
    <w:p>
      <w:pPr>
        <w:spacing w:after="220" w:line="300" w:lineRule="exact"/>
        <w:rPr>
          <w:color w:val="auto"/>
          <w:highlight w:val="none"/>
        </w:rPr>
      </w:pPr>
      <w:r>
        <w:rPr>
          <w:rFonts w:hint="eastAsia" w:ascii="宋体" w:hAnsi="宋体"/>
          <w:color w:val="auto"/>
          <w:sz w:val="20"/>
          <w:highlight w:val="none"/>
        </w:rPr>
        <w:t>2.1 在甲方按约定支付每期维保服务费的前提下，乙方承诺在维保服务期内提供下列服务</w:t>
      </w:r>
      <w:r>
        <w:rPr>
          <w:rFonts w:hint="eastAsia" w:ascii="宋体" w:hAnsi="宋体"/>
          <w:color w:val="auto"/>
          <w:sz w:val="20"/>
          <w:highlight w:val="none"/>
        </w:rPr>
        <w:t>［根据提供的服务类型不</w:t>
      </w:r>
      <w:r>
        <w:rPr>
          <w:rFonts w:hint="eastAsia" w:ascii="宋体" w:hAnsi="宋体"/>
          <w:b/>
          <w:i/>
          <w:color w:val="auto"/>
          <w:sz w:val="20"/>
          <w:highlight w:val="none"/>
        </w:rPr>
        <w:t>同进行选择，不需要的可删除］：</w:t>
      </w:r>
    </w:p>
    <w:p>
      <w:pPr>
        <w:spacing w:after="220" w:line="300" w:lineRule="exact"/>
        <w:jc w:val="left"/>
        <w:rPr>
          <w:color w:val="auto"/>
          <w:highlight w:val="none"/>
        </w:rPr>
      </w:pPr>
      <w:r>
        <w:rPr>
          <w:rFonts w:hint="eastAsia" w:ascii="宋体" w:hAnsi="宋体"/>
          <w:color w:val="auto"/>
          <w:sz w:val="20"/>
          <w:highlight w:val="none"/>
        </w:rPr>
        <w:t>□对于提供“一站式全包维修服务（全心保）”、“有限保维修服务（用心保／随心保）”的设备，服务内容如下：</w:t>
      </w:r>
    </w:p>
    <w:p>
      <w:pPr>
        <w:spacing w:after="220" w:line="300" w:lineRule="exact"/>
        <w:ind w:firstLine="440"/>
        <w:jc w:val="left"/>
        <w:rPr>
          <w:color w:val="auto"/>
          <w:highlight w:val="none"/>
        </w:rPr>
      </w:pPr>
      <w:r>
        <w:rPr>
          <w:rFonts w:hint="eastAsia" w:ascii="宋体" w:hAnsi="宋体"/>
          <w:color w:val="auto"/>
          <w:sz w:val="20"/>
          <w:highlight w:val="none"/>
        </w:rPr>
        <w:t>（1）设备维修；</w:t>
      </w:r>
    </w:p>
    <w:p>
      <w:pPr>
        <w:spacing w:after="220" w:line="300" w:lineRule="exact"/>
        <w:ind w:firstLine="440"/>
        <w:jc w:val="left"/>
        <w:rPr>
          <w:color w:val="auto"/>
          <w:highlight w:val="none"/>
        </w:rPr>
      </w:pPr>
      <w:r>
        <w:rPr>
          <w:rFonts w:hint="eastAsia" w:ascii="宋体" w:hAnsi="宋体"/>
          <w:color w:val="auto"/>
          <w:sz w:val="20"/>
          <w:highlight w:val="none"/>
        </w:rPr>
        <w:t>（2）提供维修中所需备件（不包含本合同其他条款中明确除外的备件）；</w:t>
      </w:r>
    </w:p>
    <w:p>
      <w:pPr>
        <w:spacing w:after="220" w:line="300" w:lineRule="exact"/>
        <w:ind w:firstLine="440"/>
        <w:jc w:val="left"/>
        <w:rPr>
          <w:color w:val="auto"/>
          <w:highlight w:val="none"/>
        </w:rPr>
      </w:pPr>
      <w:r>
        <w:rPr>
          <w:rFonts w:hint="eastAsia" w:ascii="宋体" w:hAnsi="宋体"/>
          <w:color w:val="auto"/>
          <w:sz w:val="20"/>
          <w:highlight w:val="none"/>
        </w:rPr>
        <w:t>（3）安全检查：制定检查计划、机械安全检查、电器安全检查、记录检查结果；</w:t>
      </w:r>
    </w:p>
    <w:p>
      <w:pPr>
        <w:spacing w:after="220" w:line="300" w:lineRule="exact"/>
        <w:ind w:firstLine="440"/>
        <w:jc w:val="left"/>
        <w:rPr>
          <w:color w:val="auto"/>
          <w:highlight w:val="none"/>
        </w:rPr>
      </w:pPr>
      <w:r>
        <w:rPr>
          <w:rFonts w:hint="eastAsia" w:ascii="宋体" w:hAnsi="宋体"/>
          <w:color w:val="auto"/>
          <w:sz w:val="20"/>
          <w:highlight w:val="none"/>
        </w:rPr>
        <w:t>（4）质量检查：检查图像质量（效果）、评判参数结果、调整／校准至原厂家质量标准、记录设备质量报告；</w:t>
      </w:r>
    </w:p>
    <w:p>
      <w:pPr>
        <w:spacing w:after="220" w:line="300" w:lineRule="exact"/>
        <w:ind w:firstLine="440"/>
        <w:jc w:val="left"/>
        <w:rPr>
          <w:color w:val="auto"/>
          <w:highlight w:val="none"/>
        </w:rPr>
      </w:pPr>
      <w:r>
        <w:rPr>
          <w:rFonts w:hint="eastAsia" w:ascii="宋体" w:hAnsi="宋体"/>
          <w:color w:val="auto"/>
          <w:sz w:val="20"/>
          <w:highlight w:val="none"/>
        </w:rPr>
        <w:t>（5）提供预防性保养（【】次／合同年度）及保养耗材。</w:t>
      </w:r>
    </w:p>
    <w:p>
      <w:pPr>
        <w:spacing w:after="220" w:line="300" w:lineRule="exact"/>
        <w:ind w:firstLine="440"/>
        <w:jc w:val="left"/>
        <w:rPr>
          <w:color w:val="auto"/>
          <w:highlight w:val="none"/>
        </w:rPr>
      </w:pPr>
      <w:r>
        <w:rPr>
          <w:rFonts w:hint="eastAsia" w:ascii="宋体" w:hAnsi="宋体"/>
          <w:color w:val="auto"/>
          <w:sz w:val="20"/>
          <w:highlight w:val="none"/>
        </w:rPr>
        <w:t>（6）保证95％的开机率。</w:t>
      </w:r>
    </w:p>
    <w:p>
      <w:pPr>
        <w:spacing w:after="220" w:line="280" w:lineRule="exact"/>
        <w:jc w:val="left"/>
        <w:rPr>
          <w:color w:val="auto"/>
          <w:highlight w:val="none"/>
        </w:rPr>
      </w:pPr>
      <w:r>
        <w:rPr>
          <w:rFonts w:hint="eastAsia" w:ascii="宋体" w:hAnsi="宋体"/>
          <w:color w:val="auto"/>
          <w:sz w:val="18"/>
          <w:highlight w:val="none"/>
        </w:rPr>
        <w:t>□对于提供“人工保维修服务（安心保）”的设备，服务内容如下：</w:t>
      </w:r>
    </w:p>
    <w:p>
      <w:pPr>
        <w:spacing w:after="220" w:line="300" w:lineRule="exact"/>
        <w:ind w:firstLine="440"/>
        <w:jc w:val="left"/>
        <w:rPr>
          <w:color w:val="auto"/>
          <w:highlight w:val="none"/>
        </w:rPr>
      </w:pPr>
      <w:r>
        <w:rPr>
          <w:rFonts w:hint="eastAsia" w:ascii="宋体" w:hAnsi="宋体"/>
          <w:color w:val="auto"/>
          <w:sz w:val="20"/>
          <w:highlight w:val="none"/>
        </w:rPr>
        <w:t>（1）设备维修；</w:t>
      </w:r>
    </w:p>
    <w:p>
      <w:pPr>
        <w:spacing w:after="260" w:line="300" w:lineRule="exact"/>
        <w:ind w:firstLine="440"/>
        <w:jc w:val="left"/>
        <w:rPr>
          <w:color w:val="auto"/>
          <w:highlight w:val="none"/>
        </w:rPr>
      </w:pPr>
      <w:r>
        <w:rPr>
          <w:rFonts w:hint="eastAsia" w:ascii="宋体" w:hAnsi="宋体"/>
          <w:color w:val="auto"/>
          <w:sz w:val="20"/>
          <w:highlight w:val="none"/>
        </w:rPr>
        <w:t>（2）安全检查：制定检查计划、机械安全检查、电器安全检查、记录检查结果；</w:t>
      </w:r>
    </w:p>
    <w:p>
      <w:pPr>
        <w:spacing w:after="220" w:line="300" w:lineRule="exact"/>
        <w:ind w:firstLine="440"/>
        <w:jc w:val="left"/>
        <w:rPr>
          <w:color w:val="auto"/>
          <w:highlight w:val="none"/>
        </w:rPr>
      </w:pPr>
      <w:r>
        <w:rPr>
          <w:rFonts w:hint="eastAsia" w:ascii="宋体" w:hAnsi="宋体"/>
          <w:color w:val="auto"/>
          <w:sz w:val="20"/>
          <w:highlight w:val="none"/>
        </w:rPr>
        <w:t>（3）质量检查：检查图像质量（效果）、评判参数结果、调整／校准至原厂家质量标准、记录设备质量报告；</w:t>
      </w:r>
    </w:p>
    <w:p>
      <w:pPr>
        <w:spacing w:after="220" w:line="300" w:lineRule="exact"/>
        <w:ind w:firstLine="440"/>
        <w:jc w:val="left"/>
        <w:rPr>
          <w:color w:val="auto"/>
          <w:highlight w:val="none"/>
        </w:rPr>
      </w:pPr>
      <w:r>
        <w:rPr>
          <w:rFonts w:hint="eastAsia" w:ascii="宋体" w:hAnsi="宋体"/>
          <w:color w:val="auto"/>
          <w:sz w:val="20"/>
          <w:highlight w:val="none"/>
        </w:rPr>
        <w:t>（4）提供预防性保养（【】次／合同年度）及保养耗材。</w:t>
      </w:r>
    </w:p>
    <w:p>
      <w:pPr>
        <w:spacing w:after="220" w:line="280" w:lineRule="exact"/>
        <w:jc w:val="left"/>
        <w:rPr>
          <w:color w:val="auto"/>
          <w:highlight w:val="none"/>
        </w:rPr>
      </w:pPr>
      <w:r>
        <w:rPr>
          <w:rFonts w:hint="eastAsia" w:ascii="宋体" w:hAnsi="宋体"/>
          <w:color w:val="auto"/>
          <w:sz w:val="20"/>
          <w:highlight w:val="none"/>
        </w:rPr>
        <w:t>□对于提供“保养服务（焕新保）”的设备，服务内容如下：</w:t>
      </w:r>
    </w:p>
    <w:p>
      <w:pPr>
        <w:spacing w:after="220" w:line="300" w:lineRule="exact"/>
        <w:ind w:firstLine="440"/>
        <w:jc w:val="left"/>
        <w:rPr>
          <w:color w:val="auto"/>
          <w:highlight w:val="none"/>
        </w:rPr>
      </w:pPr>
      <w:r>
        <w:rPr>
          <w:rFonts w:hint="eastAsia" w:ascii="宋体" w:hAnsi="宋体"/>
          <w:color w:val="auto"/>
          <w:sz w:val="20"/>
          <w:highlight w:val="none"/>
        </w:rPr>
        <w:t>（1）安全检查：制定检查计划、机械安全检查、电器安全检查、记录检查结果；</w:t>
      </w:r>
    </w:p>
    <w:p>
      <w:pPr>
        <w:spacing w:after="220" w:line="300" w:lineRule="exact"/>
        <w:ind w:firstLine="440"/>
        <w:jc w:val="left"/>
        <w:rPr>
          <w:color w:val="auto"/>
          <w:highlight w:val="none"/>
        </w:rPr>
      </w:pPr>
      <w:r>
        <w:rPr>
          <w:rFonts w:hint="eastAsia" w:ascii="宋体" w:hAnsi="宋体"/>
          <w:color w:val="auto"/>
          <w:sz w:val="20"/>
          <w:highlight w:val="none"/>
        </w:rPr>
        <w:t>（2）质量检查：检查图像质量（效果）、评判参数结果、调整／校准至原厂家质量标准、记录设备质量报告；</w:t>
      </w:r>
    </w:p>
    <w:p>
      <w:pPr>
        <w:spacing w:after="220" w:line="300" w:lineRule="exact"/>
        <w:ind w:firstLine="440"/>
        <w:jc w:val="left"/>
        <w:rPr>
          <w:color w:val="auto"/>
          <w:highlight w:val="none"/>
        </w:rPr>
      </w:pPr>
      <w:r>
        <w:rPr>
          <w:rFonts w:hint="eastAsia" w:ascii="宋体" w:hAnsi="宋体"/>
          <w:color w:val="auto"/>
          <w:sz w:val="20"/>
          <w:highlight w:val="none"/>
        </w:rPr>
        <w:t>（3）提供预防性保养（【】次／合同年度）及保养耗材。</w:t>
      </w:r>
    </w:p>
    <w:p>
      <w:pPr>
        <w:spacing w:after="260" w:line="300" w:lineRule="exact"/>
        <w:rPr>
          <w:color w:val="auto"/>
          <w:highlight w:val="none"/>
        </w:rPr>
      </w:pPr>
      <w:r>
        <w:rPr>
          <w:rFonts w:hint="eastAsia" w:ascii="宋体" w:hAnsi="宋体"/>
          <w:color w:val="auto"/>
          <w:sz w:val="20"/>
          <w:highlight w:val="none"/>
        </w:rPr>
        <w:t>□对于提供“按次人工服务（舒心保）”的设备，在该设备维修服务期限内提供不超过【】次（以服务期限内甲方实际报修次数为准）人工维修服务（不包含零／备件更换）；甲方应在维修服务期限内使用完毕人工维修服务，如报修次数未达到上述次数上限的，服务不顺延，具体服务内容如下：</w:t>
      </w:r>
    </w:p>
    <w:p>
      <w:pPr>
        <w:spacing w:after="220" w:line="300" w:lineRule="exact"/>
        <w:ind w:firstLine="440"/>
        <w:jc w:val="left"/>
        <w:rPr>
          <w:color w:val="auto"/>
          <w:highlight w:val="none"/>
        </w:rPr>
      </w:pPr>
      <w:r>
        <w:rPr>
          <w:rFonts w:hint="eastAsia" w:ascii="宋体" w:hAnsi="宋体"/>
          <w:color w:val="auto"/>
          <w:sz w:val="20"/>
          <w:highlight w:val="none"/>
        </w:rPr>
        <w:t>（1）设备维修（不包含备件更换）；</w:t>
      </w:r>
    </w:p>
    <w:p>
      <w:pPr>
        <w:spacing w:line="300" w:lineRule="exact"/>
        <w:ind w:firstLine="440"/>
        <w:jc w:val="left"/>
        <w:rPr>
          <w:rFonts w:ascii="宋体" w:hAnsi="宋体"/>
          <w:color w:val="auto"/>
          <w:sz w:val="20"/>
          <w:highlight w:val="none"/>
        </w:rPr>
      </w:pPr>
      <w:r>
        <w:rPr>
          <w:rFonts w:hint="eastAsia" w:ascii="宋体" w:hAnsi="宋体"/>
          <w:color w:val="auto"/>
          <w:sz w:val="20"/>
          <w:highlight w:val="none"/>
        </w:rPr>
        <w:t>（2）安全检查：机械安全检查，电器安全检查；</w:t>
      </w:r>
    </w:p>
    <w:p>
      <w:pPr>
        <w:spacing w:after="220" w:line="300" w:lineRule="exact"/>
        <w:ind w:firstLine="400" w:firstLineChars="200"/>
        <w:jc w:val="left"/>
        <w:rPr>
          <w:color w:val="auto"/>
          <w:highlight w:val="none"/>
        </w:rPr>
      </w:pPr>
      <w:r>
        <w:rPr>
          <w:rFonts w:hint="eastAsia" w:ascii="宋体" w:hAnsi="宋体"/>
          <w:color w:val="auto"/>
          <w:sz w:val="20"/>
          <w:highlight w:val="none"/>
        </w:rPr>
        <w:t>（3）设备状态检查：图像质量（效果），运行状态；</w:t>
      </w:r>
    </w:p>
    <w:p>
      <w:pPr>
        <w:pStyle w:val="2"/>
        <w:rPr>
          <w:rFonts w:hint="eastAsia"/>
          <w:color w:val="auto"/>
          <w:highlight w:val="none"/>
        </w:rPr>
      </w:pPr>
    </w:p>
    <w:p>
      <w:pPr>
        <w:spacing w:line="300" w:lineRule="exact"/>
        <w:jc w:val="left"/>
        <w:rPr>
          <w:rFonts w:hint="eastAsia"/>
          <w:color w:val="auto"/>
          <w:highlight w:val="none"/>
        </w:rPr>
        <w:sectPr>
          <w:footerReference r:id="rId3" w:type="default"/>
          <w:type w:val="continuous"/>
          <w:pgSz w:w="12300" w:h="16840"/>
          <w:pgMar w:top="780" w:right="720" w:bottom="1440" w:left="720" w:header="0" w:footer="0" w:gutter="0"/>
          <w:cols w:space="720" w:num="1"/>
        </w:sect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3683000</wp:posOffset>
                </wp:positionH>
                <wp:positionV relativeFrom="paragraph">
                  <wp:posOffset>8839200</wp:posOffset>
                </wp:positionV>
                <wp:extent cx="698500" cy="1524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color w:val="000000"/>
                                <w:sz w:val="16"/>
                              </w:rPr>
                              <w:t>2/10</w:t>
                            </w:r>
                          </w:p>
                        </w:txbxContent>
                      </wps:txbx>
                      <wps:bodyPr lIns="25400" tIns="0" rIns="25400" bIns="0">
                        <a:noAutofit/>
                      </wps:bodyPr>
                    </wps:wsp>
                  </a:graphicData>
                </a:graphic>
              </wp:anchor>
            </w:drawing>
          </mc:Choice>
          <mc:Fallback>
            <w:pict>
              <v:shape id="文本框 2" o:spid="_x0000_s1026" o:spt="202" type="#_x0000_t202" style="position:absolute;left:0pt;margin-left:290pt;margin-top:696pt;height:12pt;width:55pt;mso-position-horizontal-relative:page;z-index:251659264;mso-width-relative:page;mso-height-relative:page;" filled="f" stroked="f" coordsize="21600,21600" o:gfxdata="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ajSk2QAAAA0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220" w:lineRule="exact"/>
                        <w:jc w:val="center"/>
                      </w:pPr>
                      <w:r>
                        <w:rPr>
                          <w:rFonts w:hint="eastAsia" w:ascii="宋体" w:hAnsi="宋体"/>
                          <w:color w:val="000000"/>
                          <w:sz w:val="16"/>
                        </w:rPr>
                        <w:t>2/10</w:t>
                      </w:r>
                    </w:p>
                  </w:txbxContent>
                </v:textbox>
              </v:shape>
            </w:pict>
          </mc:Fallback>
        </mc:AlternateContent>
      </w:r>
    </w:p>
    <w:p>
      <w:pPr>
        <w:spacing w:line="1" w:lineRule="exact"/>
        <w:rPr>
          <w:rFonts w:hint="eastAsia"/>
          <w:color w:val="auto"/>
          <w:highlight w:val="none"/>
        </w:rPr>
        <w:sectPr>
          <w:type w:val="continuous"/>
          <w:pgSz w:w="12280" w:h="16840"/>
          <w:pgMar w:top="780" w:right="720" w:bottom="1440" w:left="720" w:header="0" w:footer="0" w:gutter="0"/>
          <w:cols w:equalWidth="0" w:num="2">
            <w:col w:w="7920" w:space="60"/>
            <w:col w:w="540"/>
          </w:cols>
        </w:sectPr>
      </w:pPr>
    </w:p>
    <w:p>
      <w:pPr>
        <w:spacing w:after="220" w:line="300" w:lineRule="exact"/>
        <w:jc w:val="left"/>
        <w:rPr>
          <w:color w:val="auto"/>
          <w:highlight w:val="none"/>
        </w:rPr>
      </w:pPr>
      <w:r>
        <w:rPr>
          <w:rFonts w:hint="eastAsia" w:ascii="宋体" w:hAnsi="宋体"/>
          <w:color w:val="auto"/>
          <w:sz w:val="20"/>
          <w:highlight w:val="none"/>
        </w:rPr>
        <w:t>2.2 本合同未包括如下服务内容：</w:t>
      </w:r>
    </w:p>
    <w:p>
      <w:pPr>
        <w:spacing w:after="220" w:line="300" w:lineRule="exact"/>
        <w:jc w:val="left"/>
        <w:rPr>
          <w:color w:val="auto"/>
          <w:highlight w:val="none"/>
        </w:rPr>
      </w:pPr>
      <w:r>
        <w:rPr>
          <w:rFonts w:hint="eastAsia" w:ascii="宋体" w:hAnsi="宋体"/>
          <w:color w:val="auto"/>
          <w:sz w:val="20"/>
          <w:highlight w:val="none"/>
        </w:rPr>
        <w:t>□处理设备表面的损伤或设备自然损耗；</w:t>
      </w:r>
    </w:p>
    <w:p>
      <w:pPr>
        <w:spacing w:after="220" w:line="300" w:lineRule="exact"/>
        <w:jc w:val="left"/>
        <w:rPr>
          <w:color w:val="auto"/>
          <w:highlight w:val="none"/>
        </w:rPr>
      </w:pPr>
      <w:r>
        <w:rPr>
          <w:rFonts w:hint="eastAsia" w:ascii="宋体" w:hAnsi="宋体"/>
          <w:b/>
          <w:i/>
          <w:color w:val="auto"/>
          <w:sz w:val="20"/>
          <w:highlight w:val="none"/>
        </w:rPr>
        <w:t>□维修所需的备件；</w:t>
      </w:r>
      <w:r>
        <w:rPr>
          <w:rFonts w:hint="eastAsia" w:ascii="宋体" w:hAnsi="宋体"/>
          <w:b/>
          <w:i/>
          <w:color w:val="auto"/>
          <w:sz w:val="20"/>
          <w:highlight w:val="none"/>
        </w:rPr>
        <w:t>［全保时删除，有限可补充列出未包括的备件内容</w:t>
      </w:r>
    </w:p>
    <w:p>
      <w:pPr>
        <w:spacing w:after="220" w:line="300" w:lineRule="exact"/>
        <w:jc w:val="left"/>
        <w:rPr>
          <w:color w:val="auto"/>
          <w:highlight w:val="none"/>
        </w:rPr>
      </w:pPr>
      <w:r>
        <w:rPr>
          <w:rFonts w:hint="eastAsia" w:ascii="宋体" w:hAnsi="宋体"/>
          <w:color w:val="auto"/>
          <w:sz w:val="20"/>
          <w:highlight w:val="none"/>
        </w:rPr>
        <w:t>□附件及易耗品；</w:t>
      </w:r>
    </w:p>
    <w:p>
      <w:pPr>
        <w:spacing w:after="220" w:line="300" w:lineRule="exact"/>
        <w:jc w:val="left"/>
        <w:rPr>
          <w:color w:val="auto"/>
          <w:highlight w:val="none"/>
        </w:rPr>
      </w:pPr>
      <w:r>
        <w:rPr>
          <w:rFonts w:hint="eastAsia" w:ascii="宋体" w:hAnsi="宋体"/>
          <w:color w:val="auto"/>
          <w:sz w:val="20"/>
          <w:highlight w:val="none"/>
        </w:rPr>
        <w:t>□设备拆机、翻新、重装、迁移、搬动等。</w:t>
      </w:r>
    </w:p>
    <w:p>
      <w:pPr>
        <w:spacing w:after="220" w:line="300" w:lineRule="exact"/>
        <w:jc w:val="left"/>
        <w:rPr>
          <w:color w:val="auto"/>
          <w:highlight w:val="none"/>
        </w:rPr>
      </w:pPr>
      <w:r>
        <w:rPr>
          <w:rFonts w:hint="eastAsia" w:ascii="宋体" w:hAnsi="宋体"/>
          <w:color w:val="auto"/>
          <w:sz w:val="20"/>
          <w:highlight w:val="none"/>
        </w:rPr>
        <w:t>□非乙方生产的产品（如工作站、激光打印机、洗片机、精密空调、水冷机、高压注射器等）的维修和保养等。</w:t>
      </w:r>
    </w:p>
    <w:p>
      <w:pPr>
        <w:spacing w:after="220" w:line="300" w:lineRule="exact"/>
        <w:jc w:val="left"/>
        <w:rPr>
          <w:color w:val="auto"/>
          <w:highlight w:val="none"/>
        </w:rPr>
      </w:pPr>
      <w:r>
        <w:rPr>
          <w:rFonts w:hint="eastAsia" w:ascii="宋体" w:hAnsi="宋体"/>
          <w:b/>
          <w:color w:val="auto"/>
          <w:sz w:val="20"/>
          <w:highlight w:val="none"/>
        </w:rPr>
        <w:t>3．维保服务费支付方式</w:t>
      </w:r>
    </w:p>
    <w:p>
      <w:pPr>
        <w:spacing w:after="220" w:line="300" w:lineRule="exact"/>
        <w:jc w:val="left"/>
        <w:rPr>
          <w:color w:val="auto"/>
          <w:highlight w:val="none"/>
        </w:rPr>
      </w:pPr>
      <w:r>
        <w:rPr>
          <w:rFonts w:hint="eastAsia" w:ascii="宋体" w:hAnsi="宋体"/>
          <w:color w:val="auto"/>
          <w:sz w:val="20"/>
          <w:highlight w:val="none"/>
        </w:rPr>
        <w:t>3.1 付款方式</w:t>
      </w:r>
    </w:p>
    <w:p>
      <w:pPr>
        <w:spacing w:after="220" w:line="320" w:lineRule="exact"/>
        <w:ind w:firstLine="440"/>
        <w:jc w:val="left"/>
        <w:rPr>
          <w:color w:val="auto"/>
          <w:highlight w:val="none"/>
        </w:rPr>
      </w:pPr>
      <w:r>
        <w:rPr>
          <w:rFonts w:hint="eastAsia" w:ascii="宋体" w:hAnsi="宋体"/>
          <w:color w:val="auto"/>
          <w:sz w:val="20"/>
          <w:highlight w:val="none"/>
        </w:rPr>
        <w:t>在本合同签署后，甲方应按如下规定日期将每期的维保服务款项通过银行电汇支付至乙方指定收款账号。</w:t>
      </w:r>
    </w:p>
    <w:p>
      <w:pPr>
        <w:spacing w:after="220" w:line="320" w:lineRule="exact"/>
        <w:ind w:left="440"/>
        <w:rPr>
          <w:color w:val="auto"/>
          <w:highlight w:val="none"/>
        </w:rPr>
      </w:pPr>
      <w:r>
        <w:rPr>
          <w:rFonts w:hint="eastAsia" w:ascii="宋体" w:hAnsi="宋体"/>
          <w:color w:val="auto"/>
          <w:sz w:val="20"/>
          <w:highlight w:val="none"/>
        </w:rPr>
        <w:t>3.1.1 第一期（自</w:t>
      </w:r>
      <w:r>
        <w:rPr>
          <w:rFonts w:hint="eastAsia" w:ascii="宋体" w:hAnsi="宋体"/>
          <w:color w:val="auto"/>
          <w:sz w:val="20"/>
          <w:highlight w:val="none"/>
          <w:u w:val="single"/>
        </w:rPr>
        <w:t>＿年＿月</w:t>
      </w:r>
      <w:r>
        <w:rPr>
          <w:rFonts w:hint="eastAsia" w:ascii="宋体" w:hAnsi="宋体"/>
          <w:color w:val="auto"/>
          <w:sz w:val="20"/>
          <w:highlight w:val="none"/>
        </w:rPr>
        <w:t>日起</w:t>
      </w:r>
      <w:r>
        <w:rPr>
          <w:rFonts w:hint="eastAsia" w:ascii="宋体" w:hAnsi="宋体"/>
          <w:color w:val="auto"/>
          <w:sz w:val="20"/>
          <w:highlight w:val="none"/>
          <w:u w:val="single"/>
        </w:rPr>
        <w:t>至年 月＿</w:t>
      </w:r>
      <w:r>
        <w:rPr>
          <w:rFonts w:hint="eastAsia" w:ascii="宋体" w:hAnsi="宋体"/>
          <w:color w:val="auto"/>
          <w:sz w:val="20"/>
          <w:highlight w:val="none"/>
        </w:rPr>
        <w:t>日止）维保服务费人民币【】元（大写：【】元整），应于收到发票后30天内支付；其中，硬件维护价格人民币【】元（大写【】元整），软件维护价格人民币【】元（大写：【】元整）；</w:t>
      </w:r>
    </w:p>
    <w:p>
      <w:pPr>
        <w:spacing w:after="220" w:line="380" w:lineRule="exact"/>
        <w:ind w:left="440"/>
        <w:rPr>
          <w:color w:val="auto"/>
          <w:highlight w:val="none"/>
        </w:rPr>
      </w:pPr>
      <w:r>
        <w:rPr>
          <w:rFonts w:hint="eastAsia" w:ascii="宋体" w:hAnsi="宋体"/>
          <w:color w:val="auto"/>
          <w:sz w:val="20"/>
          <w:highlight w:val="none"/>
        </w:rPr>
        <w:t>3.1.2 第二期（自</w:t>
      </w:r>
      <w:r>
        <w:rPr>
          <w:rFonts w:hint="eastAsia" w:ascii="宋体" w:hAnsi="宋体"/>
          <w:color w:val="auto"/>
          <w:sz w:val="20"/>
          <w:highlight w:val="none"/>
          <w:u w:val="single"/>
        </w:rPr>
        <w:t>＿年＿月＿</w:t>
      </w:r>
      <w:r>
        <w:rPr>
          <w:rFonts w:hint="eastAsia" w:ascii="宋体" w:hAnsi="宋体"/>
          <w:color w:val="auto"/>
          <w:sz w:val="20"/>
          <w:highlight w:val="none"/>
        </w:rPr>
        <w:t>日起至</w:t>
      </w:r>
      <w:r>
        <w:rPr>
          <w:rFonts w:hint="eastAsia" w:ascii="宋体" w:hAnsi="宋体"/>
          <w:color w:val="auto"/>
          <w:sz w:val="20"/>
          <w:highlight w:val="none"/>
          <w:u w:val="single"/>
        </w:rPr>
        <w:t>＿年＿月＿</w:t>
      </w:r>
      <w:r>
        <w:rPr>
          <w:rFonts w:hint="eastAsia" w:ascii="宋体" w:hAnsi="宋体"/>
          <w:color w:val="auto"/>
          <w:sz w:val="20"/>
          <w:highlight w:val="none"/>
        </w:rPr>
        <w:t>日止）的维保服务费人民币【】元（大写：【】元整）应于X年X月X日前付清；其中，硬件维护价格人民币【】元（大写：【】元整），软件维护价格人民币【】元（大写：【】元整）；</w:t>
      </w:r>
    </w:p>
    <w:p>
      <w:pPr>
        <w:spacing w:after="220" w:line="320" w:lineRule="exact"/>
        <w:ind w:left="440"/>
        <w:rPr>
          <w:color w:val="auto"/>
          <w:highlight w:val="none"/>
        </w:rPr>
      </w:pPr>
      <w:r>
        <w:rPr>
          <w:rFonts w:hint="eastAsia" w:ascii="宋体" w:hAnsi="宋体"/>
          <w:color w:val="auto"/>
          <w:sz w:val="20"/>
          <w:highlight w:val="none"/>
        </w:rPr>
        <w:t>3.1.3 第三期（自</w:t>
      </w:r>
      <w:r>
        <w:rPr>
          <w:rFonts w:hint="eastAsia" w:ascii="宋体" w:hAnsi="宋体"/>
          <w:color w:val="auto"/>
          <w:sz w:val="20"/>
          <w:highlight w:val="none"/>
          <w:u w:val="single"/>
        </w:rPr>
        <w:t>＿年月＿</w:t>
      </w:r>
      <w:r>
        <w:rPr>
          <w:rFonts w:hint="eastAsia" w:ascii="宋体" w:hAnsi="宋体"/>
          <w:color w:val="auto"/>
          <w:sz w:val="20"/>
          <w:highlight w:val="none"/>
        </w:rPr>
        <w:t>日起至</w:t>
      </w:r>
      <w:r>
        <w:rPr>
          <w:rFonts w:hint="eastAsia" w:ascii="宋体" w:hAnsi="宋体"/>
          <w:color w:val="auto"/>
          <w:sz w:val="20"/>
          <w:highlight w:val="none"/>
          <w:u w:val="single"/>
        </w:rPr>
        <w:t>＿年＿月＿</w:t>
      </w:r>
      <w:r>
        <w:rPr>
          <w:rFonts w:hint="eastAsia" w:ascii="宋体" w:hAnsi="宋体"/>
          <w:color w:val="auto"/>
          <w:sz w:val="20"/>
          <w:highlight w:val="none"/>
        </w:rPr>
        <w:t>日止）的维保服务费人民币【】元（大写：【】元整）应于X年X月X日前付清；其中，硬件维护价格人民币【】元（大写：【】元整），软件维护价格人民币【】元（大写：【】元整）。</w:t>
      </w:r>
    </w:p>
    <w:p>
      <w:pPr>
        <w:spacing w:after="220" w:line="320" w:lineRule="exact"/>
        <w:ind w:left="440"/>
        <w:rPr>
          <w:color w:val="auto"/>
          <w:highlight w:val="none"/>
        </w:rPr>
      </w:pPr>
      <w:r>
        <w:rPr>
          <w:rFonts w:hint="eastAsia" w:ascii="宋体" w:hAnsi="宋体"/>
          <w:b/>
          <w:color w:val="auto"/>
          <w:sz w:val="20"/>
          <w:highlight w:val="none"/>
        </w:rPr>
        <w:t>如维保服务期限届满日期先于上述任何一期付款期限的，则甲方应在维保服务期限届满之日支付所有剩余维保服务费。</w:t>
      </w:r>
    </w:p>
    <w:p>
      <w:pPr>
        <w:spacing w:after="220" w:line="300" w:lineRule="exact"/>
        <w:jc w:val="left"/>
        <w:rPr>
          <w:color w:val="auto"/>
          <w:highlight w:val="none"/>
        </w:rPr>
      </w:pPr>
      <w:r>
        <w:rPr>
          <w:rFonts w:hint="eastAsia" w:ascii="宋体" w:hAnsi="宋体"/>
          <w:color w:val="auto"/>
          <w:sz w:val="20"/>
          <w:highlight w:val="none"/>
        </w:rPr>
        <w:t>3.2 乙方收款账号信息：</w:t>
      </w:r>
    </w:p>
    <w:p>
      <w:pPr>
        <w:spacing w:after="220" w:line="320" w:lineRule="exact"/>
        <w:ind w:firstLine="800" w:firstLineChars="400"/>
        <w:jc w:val="left"/>
        <w:rPr>
          <w:color w:val="auto"/>
          <w:highlight w:val="none"/>
        </w:rPr>
      </w:pPr>
      <w:r>
        <w:rPr>
          <w:rFonts w:hint="eastAsia" w:ascii="宋体" w:hAnsi="宋体"/>
          <w:color w:val="auto"/>
          <w:sz w:val="20"/>
          <w:highlight w:val="none"/>
        </w:rPr>
        <w:t>收款单位：</w:t>
      </w:r>
      <w:r>
        <w:rPr>
          <w:color w:val="auto"/>
          <w:highlight w:val="none"/>
        </w:rPr>
        <w:t xml:space="preserve"> </w:t>
      </w:r>
    </w:p>
    <w:p>
      <w:pPr>
        <w:spacing w:after="340" w:line="240" w:lineRule="exact"/>
        <w:ind w:firstLine="800"/>
        <w:jc w:val="left"/>
        <w:rPr>
          <w:rFonts w:ascii="宋体" w:hAnsi="宋体"/>
          <w:color w:val="auto"/>
          <w:sz w:val="20"/>
          <w:highlight w:val="none"/>
        </w:rPr>
      </w:pPr>
      <w:r>
        <w:rPr>
          <w:rFonts w:hint="eastAsia" w:ascii="宋体" w:hAnsi="宋体"/>
          <w:color w:val="auto"/>
          <w:sz w:val="20"/>
          <w:highlight w:val="none"/>
        </w:rPr>
        <w:t>开户行：</w:t>
      </w:r>
      <w:r>
        <w:rPr>
          <w:rFonts w:ascii="宋体" w:hAnsi="宋体"/>
          <w:color w:val="auto"/>
          <w:sz w:val="20"/>
          <w:highlight w:val="none"/>
        </w:rPr>
        <w:t xml:space="preserve"> </w:t>
      </w:r>
    </w:p>
    <w:p>
      <w:pPr>
        <w:spacing w:after="340" w:line="240" w:lineRule="exact"/>
        <w:ind w:firstLine="800"/>
        <w:jc w:val="left"/>
        <w:rPr>
          <w:rFonts w:ascii="宋体" w:hAnsi="宋体"/>
          <w:color w:val="auto"/>
          <w:sz w:val="2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3683000</wp:posOffset>
                </wp:positionH>
                <wp:positionV relativeFrom="paragraph">
                  <wp:posOffset>8839200</wp:posOffset>
                </wp:positionV>
                <wp:extent cx="698500" cy="152400"/>
                <wp:effectExtent l="0" t="0" r="635" b="14605"/>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color w:val="000000"/>
                                <w:sz w:val="16"/>
                              </w:rPr>
                              <w:t>3/10</w:t>
                            </w:r>
                          </w:p>
                        </w:txbxContent>
                      </wps:txbx>
                      <wps:bodyPr lIns="25400" tIns="0" rIns="25400" bIns="0">
                        <a:noAutofit/>
                      </wps:bodyPr>
                    </wps:wsp>
                  </a:graphicData>
                </a:graphic>
              </wp:anchor>
            </w:drawing>
          </mc:Choice>
          <mc:Fallback>
            <w:pict>
              <v:shape id="文本框 2" o:spid="_x0000_s1026" o:spt="202" type="#_x0000_t202" style="position:absolute;left:0pt;margin-left:290pt;margin-top:696pt;height:12pt;width:55pt;mso-position-horizontal-relative:page;z-index:251660288;mso-width-relative:page;mso-height-relative:page;" filled="f" stroked="f" coordsize="21600,21600" o:gfxdata="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MYxdEwUD&#10;P//6ef799/znByqjPIP1DWTdWcgL43szwtI8+D04I+uROxW/wAfFeJ0XV9cg8anFZVGtqmI5Cc3G&#10;gCgkgLNc1UuMKGRU1XVdrlJG9ghlnQ8fmFEoGi12MMkkMDl+8gHagtSHlFhZm1shZZqm1GhocV0t&#10;8/TgEoEXUsPDSGhqPFph3I0zy53pTkBSftQgcLm8yuPCpAsY7ql3N3unyu8OwXCRmoqIE8xcCMaW&#10;ep1XLO7F03vKevyt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ajSk2QAAAA0BAAAPAAAAAAAA&#10;AAEAIAAAACIAAABkcnMvZG93bnJldi54bWxQSwECFAAUAAAACACHTuJAMcgwtdgBAACeAwAADgAA&#10;AAAAAAABACAAAAAoAQAAZHJzL2Uyb0RvYy54bWxQSwUGAAAAAAYABgBZAQAAcgUAAAAA&#10;">
                <v:fill on="f" focussize="0,0"/>
                <v:stroke on="f" weight="0.5pt"/>
                <v:imagedata o:title=""/>
                <o:lock v:ext="edit" aspectratio="f"/>
                <v:textbox inset="2pt,0mm,2pt,0mm">
                  <w:txbxContent>
                    <w:p>
                      <w:pPr>
                        <w:spacing w:line="220" w:lineRule="exact"/>
                        <w:jc w:val="center"/>
                      </w:pPr>
                      <w:r>
                        <w:rPr>
                          <w:rFonts w:hint="eastAsia" w:ascii="宋体" w:hAnsi="宋体"/>
                          <w:color w:val="000000"/>
                          <w:sz w:val="16"/>
                        </w:rPr>
                        <w:t>3/10</w:t>
                      </w:r>
                    </w:p>
                  </w:txbxContent>
                </v:textbox>
              </v:shape>
            </w:pict>
          </mc:Fallback>
        </mc:AlternateContent>
      </w:r>
      <w:r>
        <w:rPr>
          <w:rFonts w:hint="eastAsia" w:ascii="宋体" w:hAnsi="宋体"/>
          <w:color w:val="auto"/>
          <w:sz w:val="22"/>
          <w:highlight w:val="none"/>
        </w:rPr>
        <w:t>账号：</w:t>
      </w:r>
    </w:p>
    <w:p>
      <w:pPr>
        <w:spacing w:after="340" w:line="240" w:lineRule="exact"/>
        <w:ind w:firstLine="800"/>
        <w:jc w:val="left"/>
        <w:rPr>
          <w:rFonts w:ascii="宋体" w:hAnsi="宋体"/>
          <w:color w:val="auto"/>
          <w:sz w:val="22"/>
          <w:highlight w:val="none"/>
        </w:rPr>
      </w:pPr>
      <w:r>
        <w:rPr>
          <w:rFonts w:hint="eastAsia" w:ascii="宋体" w:hAnsi="宋体"/>
          <w:color w:val="auto"/>
          <w:sz w:val="22"/>
          <w:highlight w:val="none"/>
        </w:rPr>
        <w:t>税号：</w:t>
      </w:r>
    </w:p>
    <w:p>
      <w:pPr>
        <w:spacing w:after="340" w:line="240" w:lineRule="exact"/>
        <w:ind w:firstLine="800"/>
        <w:jc w:val="left"/>
        <w:rPr>
          <w:color w:val="auto"/>
          <w:highlight w:val="none"/>
        </w:rPr>
      </w:pPr>
      <w:r>
        <w:rPr>
          <w:rFonts w:hint="eastAsia" w:ascii="宋体" w:hAnsi="宋体"/>
          <w:color w:val="auto"/>
          <w:sz w:val="22"/>
          <w:highlight w:val="none"/>
        </w:rPr>
        <w:t>甲方开票信息：</w:t>
      </w:r>
    </w:p>
    <w:p>
      <w:pPr>
        <w:spacing w:after="340" w:line="240" w:lineRule="exact"/>
        <w:ind w:firstLine="800"/>
        <w:jc w:val="left"/>
        <w:rPr>
          <w:color w:val="auto"/>
          <w:highlight w:val="none"/>
        </w:rPr>
      </w:pPr>
      <w:r>
        <w:rPr>
          <w:rFonts w:hint="eastAsia" w:ascii="宋体" w:hAnsi="宋体"/>
          <w:color w:val="auto"/>
          <w:sz w:val="22"/>
          <w:highlight w:val="none"/>
        </w:rPr>
        <w:t>公司名称：</w:t>
      </w:r>
      <w:r>
        <w:rPr>
          <w:rFonts w:hint="eastAsia" w:ascii="宋体" w:hAnsi="宋体"/>
          <w:b/>
          <w:color w:val="auto"/>
          <w:sz w:val="22"/>
          <w:highlight w:val="none"/>
        </w:rPr>
        <w:t>【】</w:t>
      </w:r>
    </w:p>
    <w:p>
      <w:pPr>
        <w:spacing w:after="340" w:line="240" w:lineRule="exact"/>
        <w:ind w:firstLine="800"/>
        <w:jc w:val="left"/>
        <w:rPr>
          <w:color w:val="auto"/>
          <w:highlight w:val="none"/>
        </w:rPr>
      </w:pPr>
      <w:r>
        <w:rPr>
          <w:rFonts w:hint="eastAsia" w:ascii="宋体" w:hAnsi="宋体"/>
          <w:color w:val="auto"/>
          <w:sz w:val="22"/>
          <w:highlight w:val="none"/>
        </w:rPr>
        <w:t>开户行：</w:t>
      </w:r>
      <w:r>
        <w:rPr>
          <w:rFonts w:hint="eastAsia" w:ascii="宋体" w:hAnsi="宋体"/>
          <w:b/>
          <w:color w:val="auto"/>
          <w:sz w:val="22"/>
          <w:highlight w:val="none"/>
        </w:rPr>
        <w:t>【】</w:t>
      </w:r>
    </w:p>
    <w:p>
      <w:pPr>
        <w:spacing w:after="340" w:line="240" w:lineRule="exact"/>
        <w:ind w:firstLine="800"/>
        <w:jc w:val="left"/>
        <w:rPr>
          <w:color w:val="auto"/>
          <w:highlight w:val="none"/>
        </w:rPr>
      </w:pPr>
      <w:r>
        <w:rPr>
          <w:rFonts w:hint="eastAsia" w:ascii="宋体" w:hAnsi="宋体"/>
          <w:color w:val="auto"/>
          <w:sz w:val="20"/>
          <w:highlight w:val="none"/>
        </w:rPr>
        <w:t>账号：</w:t>
      </w:r>
      <w:r>
        <w:rPr>
          <w:rFonts w:hint="eastAsia" w:ascii="宋体" w:hAnsi="宋体"/>
          <w:b/>
          <w:color w:val="auto"/>
          <w:sz w:val="20"/>
          <w:highlight w:val="none"/>
        </w:rPr>
        <w:t>【】</w:t>
      </w:r>
    </w:p>
    <w:p>
      <w:pPr>
        <w:spacing w:after="340" w:line="240" w:lineRule="exact"/>
        <w:rPr>
          <w:color w:val="auto"/>
          <w:highlight w:val="none"/>
        </w:rPr>
      </w:pPr>
      <w:r>
        <w:rPr>
          <w:rFonts w:hint="eastAsia" w:ascii="宋体" w:hAnsi="宋体"/>
          <w:color w:val="auto"/>
          <w:sz w:val="20"/>
          <w:highlight w:val="none"/>
        </w:rPr>
        <w:t>3.3 甲方应严格按照上述约定向乙方及时足额支付维保服务费用，如甲方未及时足额支付维保服务费的或者最终用户未按本合同约定提供相应维保条件的，则乙方有权中止／暂停提供维保服务。</w:t>
      </w:r>
    </w:p>
    <w:p>
      <w:pPr>
        <w:spacing w:after="340" w:line="240" w:lineRule="exact"/>
        <w:jc w:val="left"/>
        <w:rPr>
          <w:color w:val="auto"/>
          <w:highlight w:val="none"/>
        </w:rPr>
      </w:pPr>
      <w:r>
        <w:rPr>
          <w:rFonts w:hint="eastAsia" w:ascii="宋体" w:hAnsi="宋体"/>
          <w:b/>
          <w:color w:val="auto"/>
          <w:sz w:val="20"/>
          <w:highlight w:val="none"/>
        </w:rPr>
        <w:t>4．其他</w:t>
      </w:r>
    </w:p>
    <w:p>
      <w:pPr>
        <w:spacing w:after="340" w:line="240" w:lineRule="exact"/>
        <w:jc w:val="left"/>
        <w:rPr>
          <w:color w:val="auto"/>
          <w:highlight w:val="none"/>
        </w:rPr>
      </w:pPr>
      <w:r>
        <w:rPr>
          <w:rFonts w:hint="eastAsia" w:ascii="宋体" w:hAnsi="宋体"/>
          <w:color w:val="auto"/>
          <w:sz w:val="20"/>
          <w:highlight w:val="none"/>
        </w:rPr>
        <w:t>4.1 附件《一般条款》作为本合同的组成部分，对双方都具有约束力。</w:t>
      </w:r>
    </w:p>
    <w:p>
      <w:pPr>
        <w:spacing w:after="340" w:line="220" w:lineRule="exact"/>
        <w:jc w:val="left"/>
        <w:rPr>
          <w:color w:val="auto"/>
          <w:highlight w:val="none"/>
        </w:rPr>
      </w:pPr>
      <w:r>
        <w:rPr>
          <w:rFonts w:hint="eastAsia" w:ascii="宋体" w:hAnsi="宋体"/>
          <w:color w:val="auto"/>
          <w:sz w:val="20"/>
          <w:highlight w:val="none"/>
        </w:rPr>
        <w:t>4.2 本合同自双方盖章之日起生效，本合同一式贰份，双方各执壹份，每份具有同等法律效力。</w:t>
      </w:r>
    </w:p>
    <w:p>
      <w:pPr>
        <w:spacing w:after="960" w:line="240" w:lineRule="exact"/>
        <w:jc w:val="left"/>
        <w:rPr>
          <w:color w:val="auto"/>
          <w:highlight w:val="none"/>
        </w:rPr>
      </w:pPr>
      <w:r>
        <w:rPr>
          <w:rFonts w:hint="eastAsia" w:ascii="宋体" w:hAnsi="宋体"/>
          <w:color w:val="auto"/>
          <w:sz w:val="22"/>
          <w:highlight w:val="none"/>
        </w:rPr>
        <w:t>（以下无正文）</w:t>
      </w:r>
    </w:p>
    <w:p>
      <w:pPr>
        <w:spacing w:after="340" w:line="220" w:lineRule="exact"/>
        <w:jc w:val="left"/>
        <w:rPr>
          <w:color w:val="auto"/>
          <w:highlight w:val="none"/>
        </w:rPr>
      </w:pPr>
      <w:r>
        <w:rPr>
          <w:rFonts w:hint="eastAsia" w:ascii="宋体" w:hAnsi="宋体"/>
          <w:b/>
          <w:color w:val="auto"/>
          <w:sz w:val="20"/>
          <w:highlight w:val="none"/>
        </w:rPr>
        <w:t>甲方（盖章）：</w:t>
      </w:r>
      <w:r>
        <w:rPr>
          <w:rFonts w:hint="eastAsia" w:ascii="Arial" w:hAnsi="Arial" w:eastAsia="Arial"/>
          <w:color w:val="auto"/>
          <w:sz w:val="12"/>
          <w:highlight w:val="none"/>
        </w:rPr>
        <w:t xml:space="preserve">       </w:t>
      </w:r>
      <w:r>
        <w:rPr>
          <w:rFonts w:hint="eastAsia" w:ascii="宋体" w:hAnsi="宋体"/>
          <w:b/>
          <w:color w:val="auto"/>
          <w:sz w:val="20"/>
          <w:highlight w:val="none"/>
        </w:rPr>
        <w:t>《合同买方》</w:t>
      </w:r>
      <w:r>
        <w:rPr>
          <w:rFonts w:hint="eastAsia" w:ascii="Arial" w:hAnsi="Arial" w:eastAsia="Arial"/>
          <w:color w:val="auto"/>
          <w:sz w:val="12"/>
          <w:highlight w:val="none"/>
        </w:rPr>
        <w:t xml:space="preserve">                   </w:t>
      </w:r>
      <w:r>
        <w:rPr>
          <w:rFonts w:hint="eastAsia" w:ascii="宋体" w:hAnsi="宋体"/>
          <w:b/>
          <w:color w:val="auto"/>
          <w:sz w:val="20"/>
          <w:highlight w:val="none"/>
        </w:rPr>
        <w:t>乙方（盖章）：</w:t>
      </w:r>
      <w:r>
        <w:rPr>
          <w:rFonts w:hint="eastAsia" w:ascii="宋体" w:hAnsi="宋体"/>
          <w:color w:val="auto"/>
          <w:sz w:val="20"/>
          <w:highlight w:val="none"/>
        </w:rPr>
        <w:t xml:space="preserve"> </w:t>
      </w:r>
      <w:r>
        <w:rPr>
          <w:rFonts w:hint="eastAsia" w:ascii="宋体" w:hAnsi="宋体"/>
          <w:b/>
          <w:color w:val="auto"/>
          <w:sz w:val="20"/>
          <w:highlight w:val="none"/>
        </w:rPr>
        <w:t>上海联影医疗科技股份有限公司</w:t>
      </w:r>
    </w:p>
    <w:p>
      <w:pPr>
        <w:spacing w:after="340" w:line="220" w:lineRule="exact"/>
        <w:jc w:val="left"/>
        <w:rPr>
          <w:color w:val="auto"/>
          <w:highlight w:val="none"/>
        </w:rPr>
      </w:pPr>
      <w:r>
        <w:rPr>
          <w:rFonts w:hint="eastAsia" w:ascii="宋体" w:hAnsi="宋体"/>
          <w:b/>
          <w:color w:val="auto"/>
          <w:sz w:val="20"/>
          <w:highlight w:val="none"/>
        </w:rPr>
        <w:t>法定代表人或授权代表签字：</w:t>
      </w:r>
      <w:r>
        <w:rPr>
          <w:rFonts w:hint="eastAsia" w:ascii="Arial" w:hAnsi="Arial" w:eastAsia="Arial"/>
          <w:color w:val="auto"/>
          <w:sz w:val="12"/>
          <w:highlight w:val="none"/>
        </w:rPr>
        <w:t xml:space="preserve">                      </w:t>
      </w:r>
      <w:r>
        <w:rPr>
          <w:rFonts w:hint="eastAsia" w:ascii="宋体" w:hAnsi="宋体"/>
          <w:b/>
          <w:color w:val="auto"/>
          <w:sz w:val="20"/>
          <w:highlight w:val="none"/>
        </w:rPr>
        <w:t>法定代表人或授权代表签字：</w:t>
      </w:r>
    </w:p>
    <w:p>
      <w:pPr>
        <w:spacing w:line="320" w:lineRule="exact"/>
        <w:jc w:val="left"/>
        <w:rPr>
          <w:color w:val="auto"/>
          <w:highlight w:val="none"/>
        </w:rPr>
        <w:sectPr>
          <w:footerReference r:id="rId4" w:type="default"/>
          <w:type w:val="continuous"/>
          <w:pgSz w:w="12280" w:h="16840"/>
          <w:pgMar w:top="780" w:right="720" w:bottom="1440" w:left="720" w:header="0" w:footer="0" w:gutter="0"/>
          <w:cols w:space="720" w:num="1"/>
        </w:sectPr>
      </w:pPr>
      <w:r>
        <w:rPr>
          <w:rFonts w:hint="eastAsia" w:ascii="宋体" w:hAnsi="宋体"/>
          <w:b/>
          <w:color w:val="auto"/>
          <w:sz w:val="20"/>
          <w:highlight w:val="none"/>
        </w:rPr>
        <w:t>签订日期：</w:t>
      </w:r>
      <w:r>
        <w:rPr>
          <w:rFonts w:hint="eastAsia" w:ascii="Arial" w:hAnsi="Arial" w:eastAsia="Arial"/>
          <w:color w:val="auto"/>
          <w:sz w:val="12"/>
          <w:highlight w:val="none"/>
        </w:rPr>
        <w:t xml:space="preserve">                                                  </w:t>
      </w:r>
      <w:r>
        <w:rPr>
          <w:rFonts w:hint="eastAsia" w:ascii="宋体" w:hAnsi="宋体"/>
          <w:b/>
          <w:color w:val="auto"/>
          <w:sz w:val="20"/>
          <w:highlight w:val="none"/>
        </w:rPr>
        <w:t>签订日期：</w:t>
      </w:r>
    </w:p>
    <w:p>
      <w:pPr>
        <w:pStyle w:val="14"/>
        <w:snapToGrid w:val="0"/>
        <w:spacing w:before="120" w:after="120" w:line="360" w:lineRule="auto"/>
        <w:rPr>
          <w:rFonts w:hint="eastAsia" w:hAnsi="宋体"/>
          <w:b/>
          <w:bCs/>
          <w:color w:val="auto"/>
          <w:sz w:val="21"/>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page">
                  <wp:posOffset>3657600</wp:posOffset>
                </wp:positionH>
                <wp:positionV relativeFrom="paragraph">
                  <wp:posOffset>8839200</wp:posOffset>
                </wp:positionV>
                <wp:extent cx="685800" cy="1524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0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margin-left:288pt;margin-top:696pt;height:12pt;width:54pt;mso-position-horizontal-relative:page;z-index:251661312;mso-width-relative:page;mso-height-relative:page;" filled="f" stroked="f" coordsize="21600,21600" o:gfxdata="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3u5HtoAAAANAQAA&#10;DwAAAAAAAAABACAAAAAiAAAAZHJzL2Rvd25yZXYueG1sUEsBAhQAFAAAAAgAh07iQO9wkj3eAQAA&#10;rQMAAA4AAAAAAAAAAQAgAAAAKQEAAGRycy9lMm9Eb2MueG1sUEsFBgAAAAAGAAYAWQEAAHkFAAAA&#10;AA==&#10;">
                <v:fill on="f" focussize="0,0"/>
                <v:stroke on="f" weight="0.5pt"/>
                <v:imagedata o:title=""/>
                <o:lock v:ext="edit" aspectratio="f"/>
                <v:textbox inset="2pt,0mm,2pt,0mm">
                  <w:txbxContent>
                    <w:p>
                      <w:pPr>
                        <w:spacing w:line="200" w:lineRule="exact"/>
                        <w:jc w:val="center"/>
                      </w:pPr>
                    </w:p>
                  </w:txbxContent>
                </v:textbox>
              </v:shape>
            </w:pict>
          </mc:Fallback>
        </mc:AlternateConten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项目名称：             项目编号：</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甲方：（买方）仪征市中医院</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乙方：（卖方）_________</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见证方：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甲、乙双方根据（江苏海外集团国际工程咨询有限公司）</w:t>
      </w:r>
      <w:r>
        <w:rPr>
          <w:rFonts w:hint="eastAsia" w:hAnsi="宋体"/>
          <w:color w:val="auto"/>
          <w:sz w:val="21"/>
          <w:highlight w:val="none"/>
          <w:u w:val="single"/>
        </w:rPr>
        <w:t xml:space="preserve">         </w:t>
      </w:r>
      <w:r>
        <w:rPr>
          <w:rFonts w:hint="eastAsia" w:hAnsi="宋体"/>
          <w:color w:val="auto"/>
          <w:sz w:val="21"/>
          <w:highlight w:val="none"/>
        </w:rPr>
        <w:t>项目公开招标的结果，签署本合同。</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一、服务及货物</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1.1 服务及货物名称：</w:t>
      </w:r>
    </w:p>
    <w:p>
      <w:pPr>
        <w:pStyle w:val="14"/>
        <w:snapToGrid w:val="0"/>
        <w:spacing w:before="120" w:after="120" w:line="360" w:lineRule="auto"/>
        <w:ind w:firstLine="420" w:firstLineChars="200"/>
        <w:rPr>
          <w:rFonts w:hAnsi="宋体"/>
          <w:color w:val="auto"/>
          <w:sz w:val="21"/>
          <w:highlight w:val="none"/>
        </w:rPr>
      </w:pPr>
      <w:r>
        <w:rPr>
          <w:rFonts w:hAnsi="宋体"/>
          <w:color w:val="auto"/>
          <w:sz w:val="21"/>
          <w:highlight w:val="none"/>
        </w:rPr>
        <w:t>1.2 型号规格：</w:t>
      </w:r>
    </w:p>
    <w:p>
      <w:pPr>
        <w:pStyle w:val="14"/>
        <w:snapToGrid w:val="0"/>
        <w:spacing w:before="120" w:after="120" w:line="360" w:lineRule="auto"/>
        <w:ind w:firstLine="420" w:firstLineChars="200"/>
        <w:rPr>
          <w:rFonts w:hAnsi="宋体"/>
          <w:color w:val="auto"/>
          <w:sz w:val="21"/>
          <w:highlight w:val="none"/>
        </w:rPr>
      </w:pPr>
      <w:r>
        <w:rPr>
          <w:rFonts w:hAnsi="宋体"/>
          <w:color w:val="auto"/>
          <w:sz w:val="21"/>
          <w:highlight w:val="none"/>
        </w:rPr>
        <w:t>1.3 数量（单位）</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二、合同金额</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2.1 本合同金额为（大写）：____________________________________圆（_______________元）人民币。</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三、技术资料</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3.1乙方应按招标文件规定的时间向甲方提供使用货物及服务的有关技术资料。</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四、知识产权</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4.1乙方应保证甲方在使用、接受本合同货物及服务或其任何一部分时不受第三方提出侵犯其专利权、版权、商标权和工业设计权等知识产权的起诉。一旦出现侵权，由乙方负全部责任。</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五、产权担保</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5.1 乙方保证所交付的货物及服务的所有权完全属于乙方且无任何抵押、查封等产权瑕疵。</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六、履约保证金</w:t>
      </w:r>
    </w:p>
    <w:p>
      <w:pPr>
        <w:spacing w:line="1" w:lineRule="exact"/>
        <w:rPr>
          <w:rFonts w:hint="eastAsia"/>
          <w:color w:val="auto"/>
          <w:highlight w:val="none"/>
        </w:rPr>
        <w:sectPr>
          <w:type w:val="continuous"/>
          <w:pgSz w:w="11940" w:h="16840"/>
          <w:pgMar w:top="780" w:right="720" w:bottom="1440" w:left="720" w:header="0" w:footer="0" w:gutter="0"/>
          <w:cols w:equalWidth="0" w:num="2">
            <w:col w:w="7880" w:space="60"/>
            <w:col w:w="540"/>
          </w:cols>
        </w:sectPr>
      </w:pPr>
    </w:p>
    <w:p>
      <w:pPr>
        <w:pStyle w:val="14"/>
        <w:snapToGrid w:val="0"/>
        <w:spacing w:before="120" w:after="120" w:line="360" w:lineRule="auto"/>
        <w:ind w:firstLine="420" w:firstLineChars="200"/>
        <w:rPr>
          <w:rFonts w:hAnsi="宋体"/>
          <w:color w:val="auto"/>
          <w:sz w:val="21"/>
          <w:highlight w:val="none"/>
        </w:rPr>
      </w:pPr>
      <w:r>
        <w:rPr>
          <w:rFonts w:hAnsi="宋体"/>
          <w:color w:val="auto"/>
          <w:sz w:val="21"/>
          <w:highlight w:val="none"/>
        </w:rPr>
        <w:t>6.1 收取履约保证金的，</w:t>
      </w:r>
      <w:r>
        <w:rPr>
          <w:rFonts w:hint="eastAsia" w:hAnsi="宋体"/>
          <w:color w:val="auto"/>
          <w:sz w:val="21"/>
          <w:highlight w:val="none"/>
        </w:rPr>
        <w:t>允许中标人自主选择支票、汇票、本票、保函等非现金形式缴纳或提交，</w:t>
      </w:r>
      <w:r>
        <w:rPr>
          <w:rFonts w:hAnsi="宋体"/>
          <w:color w:val="auto"/>
          <w:sz w:val="21"/>
          <w:highlight w:val="none"/>
        </w:rPr>
        <w:t>应当在采购合同中约定履约保证金退还的方式、时间、条件和不予退还的情形，明确逾期退还履约保证金的违约责任。</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6.2履约保证金用以约束乙方在合同履行中的行为，以及弥补合同履行中由于乙方自身行为可能给甲方带来的各种损失；若履约保证金额不足以弥补乙方违约造成甲方损失的，甲方可继续向乙方主张索赔。</w:t>
      </w:r>
    </w:p>
    <w:p>
      <w:pPr>
        <w:pStyle w:val="14"/>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6.4 履约保证金收取：无</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七、转包或分包</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7.1本合同范围的货物及服务，应由乙方直接供应，不得转让他人供应；</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7.2 除非得到甲方的书面同意，乙方不得部分分包给他人供应。</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7.3如有转让和未经甲方同意的分包行为，甲方有权给予终止合同。</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八、质保期</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8.1 质保期      年。（自交货验收合格之日起计）</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九、交付期、交付方式及交付地点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9.1 交付期：_________</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9.2 交付方式：_________</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9.3 交付地点：_________</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十、货款支付</w:t>
      </w:r>
    </w:p>
    <w:p>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10.1 </w:t>
      </w:r>
      <w:r>
        <w:rPr>
          <w:rFonts w:hint="eastAsia" w:ascii="宋体" w:hAnsi="宋体" w:cs="宋体"/>
          <w:color w:val="auto"/>
          <w:szCs w:val="21"/>
          <w:highlight w:val="none"/>
        </w:rPr>
        <w:t xml:space="preserve">本合同项下所有款项均以人民币支付。 </w:t>
      </w:r>
    </w:p>
    <w:p>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 本合同项下的采购资金由甲方支付，付款前乙方向甲方开具发票。</w:t>
      </w:r>
    </w:p>
    <w:p>
      <w:pPr>
        <w:pStyle w:val="1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10.3</w:t>
      </w:r>
      <w:r>
        <w:rPr>
          <w:rFonts w:hint="eastAsia" w:hAnsi="宋体" w:cs="宋体"/>
          <w:color w:val="auto"/>
          <w:sz w:val="21"/>
          <w:highlight w:val="none"/>
        </w:rPr>
        <w:t xml:space="preserve"> 甲方付款方式：</w:t>
      </w:r>
      <w:r>
        <w:rPr>
          <w:rFonts w:hAnsi="宋体" w:cs="宋体"/>
          <w:color w:val="auto"/>
          <w:sz w:val="21"/>
          <w:highlight w:val="none"/>
        </w:rPr>
        <w:t xml:space="preserve"> </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十一、税费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11.1本合同执行中相关的一切税费均由乙方负担。</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十二、质量保证及售后服务</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12.1 乙方应按招标文件规定的货物及服务性能、技术要求、质量标准向甲方提供。</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12.2 乙方提供的货物及服务在质量期内因服务及产品本身的质量问题发生故障，乙方应负责免费更换。对达不到技术要求者，根据实际情况，经双方协商，可按以下办法处理：</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⑴更换：由乙方承担所发生的全部费用。</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⑵贬值处理：由甲乙双方合议定价。</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⑶退还处理：乙方应退还甲方支付的合同款，同时应承担该货物及服务的直接费用（运输、保险、检验、款项利息及银行手续费等）。</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12.3 如在使用过程中发生质量问题，乙方在接到甲方通知后在______小时内到达甲方现场。</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12.4 在质保期内，乙方应对货物及服务出现的质量及安全问题负责处理解决并承担一切费用。</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 xml:space="preserve">12.5上述的货物及服务免费保修期为 </w:t>
      </w:r>
      <w:r>
        <w:rPr>
          <w:rFonts w:hint="eastAsia" w:hAnsi="宋体"/>
          <w:color w:val="auto"/>
          <w:sz w:val="21"/>
          <w:highlight w:val="none"/>
          <w:u w:val="single"/>
        </w:rPr>
        <w:t xml:space="preserve">      </w:t>
      </w:r>
      <w:r>
        <w:rPr>
          <w:rFonts w:hint="eastAsia" w:hAnsi="宋体"/>
          <w:color w:val="auto"/>
          <w:sz w:val="21"/>
          <w:highlight w:val="none"/>
        </w:rPr>
        <w:t>年，因人为因素出现的故障不在免费保修范围内。超过保修期的机器设备，终生维修，维修时只收部件成本费。</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十三、调试和验收</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13.2 乙方交付前应对货物及服务作出全面检查和对验收文件进行整理，并列出清单，作为甲方交付验收和使用的技术条件依据，检验的结果应随货物及服务交甲方。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13.3 甲方对乙方提供的货物及服务在使用前进行调试时，乙方需负责安装并培训甲方的使用操作人员，并协助甲方一起调试，直到符合技术要求，甲方才做最终验收。</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13.4 对技术复杂的货物及服务，甲方可请国家认可的专业检测机构参与初步验收及最终验收，并由其出具质量检测报告。</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13.5 验收时乙方必须在现场，验收完毕后作出验收结果报告；验收费用由甲乙双方协商解决。</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十四、货物及服务包装、发运及运输</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14.1 乙方应在货物及服务发运前对其进行满足运输距离、防潮、防震、防锈和防破损装卸等要求包装，以保证货物及服务安全运达甲方指定地点。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14.2 使用说明书、质量检验证明书、随配附件和工具以及清单一并交付甲方。</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14.3 乙方在货物及服务发运手续办理完毕后24小时内或交付到甲方48小时前通知甲方，以准备接受交付。</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14.4 货物在交付甲方前发生的风险均由乙方负责。</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14.5 货物及服务在规定的交付期限内由乙方送达甲方指定的地点视为交付，乙方同时需通知甲方货物及服务已送达。</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十五、违约责任</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15.1 甲方无正当理由拒收货物及服务的，甲方向乙方偿付拒收款项总值的百分之五违约金。</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15.2 甲方无故逾期验收和办理款项支付手续的,甲方应按逾期付款总额每日万分之五向乙方支付违约金。</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十六、不可抗力事件处理</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16.1 在合同有效期内，任何一方因不可抗力事件导致不能履行合同，则合同履行期可延长，其延长期与不可抗力影响期相同。</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16.2 不可抗力事件发生后，应立即通知对方，并寄送有关权威机构出具的证明。</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16.3 不可抗力事件延续120天以上，双方应通过友好协商，确定是否继续履行合同。</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十七、诉讼</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17.1 双方在执行合同中所发生的一切争议，应通过协商解决。如协商不成，可向合同签订地法院起诉，合同签订地在此约定为扬州市。</w:t>
      </w:r>
    </w:p>
    <w:p>
      <w:pPr>
        <w:spacing w:line="360" w:lineRule="auto"/>
        <w:ind w:firstLine="422" w:firstLineChars="200"/>
        <w:rPr>
          <w:rFonts w:hAnsi="宋体"/>
          <w:color w:val="auto"/>
          <w:szCs w:val="21"/>
          <w:highlight w:val="none"/>
        </w:rPr>
      </w:pPr>
      <w:r>
        <w:rPr>
          <w:rFonts w:hint="eastAsia" w:ascii="宋体" w:hAnsi="宋体"/>
          <w:b/>
          <w:bCs/>
          <w:color w:val="auto"/>
          <w:kern w:val="0"/>
          <w:szCs w:val="21"/>
          <w:highlight w:val="none"/>
        </w:rPr>
        <w:t>十八、</w:t>
      </w:r>
      <w:r>
        <w:rPr>
          <w:rFonts w:hint="eastAsia" w:ascii="宋体" w:hAnsi="宋体"/>
          <w:color w:val="auto"/>
          <w:kern w:val="0"/>
          <w:szCs w:val="21"/>
          <w:highlight w:val="none"/>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pPr>
        <w:pStyle w:val="14"/>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十九、合同生效及其它</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19.1 合同经双方法定代表人签章并加盖单位公章，并经（江苏海外集团国际工程咨询有限公司）见证盖章后生效。</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19.2本合同未尽事宜，遵照《民法典》有关条文执行。</w:t>
      </w:r>
    </w:p>
    <w:p>
      <w:pPr>
        <w:pStyle w:val="14"/>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 xml:space="preserve">19.3 本合同正本一式四份，具有同等法律效力，甲方、乙方、见证方及财政监管部门（扬州市财政局政府采购管理处）各执一份。  </w:t>
      </w:r>
    </w:p>
    <w:tbl>
      <w:tblPr>
        <w:tblStyle w:val="20"/>
        <w:tblW w:w="8522" w:type="dxa"/>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甲方：</w:t>
            </w:r>
            <w:r>
              <w:rPr>
                <w:rFonts w:hAnsi="宋体"/>
                <w:color w:val="auto"/>
                <w:kern w:val="2"/>
                <w:sz w:val="21"/>
                <w:highlight w:val="none"/>
              </w:rPr>
              <w:t>XMDW_2</w:t>
            </w:r>
          </w:p>
        </w:tc>
        <w:tc>
          <w:tcPr>
            <w:tcW w:w="4238"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 xml:space="preserve">乙方：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地址：</w:t>
            </w:r>
            <w:r>
              <w:rPr>
                <w:rFonts w:hAnsi="宋体"/>
                <w:color w:val="auto"/>
                <w:kern w:val="2"/>
                <w:sz w:val="21"/>
                <w:highlight w:val="none"/>
              </w:rPr>
              <w:t>DWDZ_1</w:t>
            </w:r>
          </w:p>
        </w:tc>
        <w:tc>
          <w:tcPr>
            <w:tcW w:w="4238"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法定代表人或授权代表：</w:t>
            </w:r>
          </w:p>
        </w:tc>
        <w:tc>
          <w:tcPr>
            <w:tcW w:w="4238"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法定代表人或授权代表：</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联系电话：</w:t>
            </w:r>
          </w:p>
        </w:tc>
        <w:tc>
          <w:tcPr>
            <w:tcW w:w="4238"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 xml:space="preserve">日期：      年    月    日  </w:t>
            </w:r>
          </w:p>
        </w:tc>
        <w:tc>
          <w:tcPr>
            <w:tcW w:w="4238" w:type="dxa"/>
            <w:tcBorders>
              <w:top w:val="nil"/>
              <w:left w:val="nil"/>
              <w:bottom w:val="nil"/>
              <w:right w:val="nil"/>
            </w:tcBorders>
          </w:tcPr>
          <w:p>
            <w:pPr>
              <w:pStyle w:val="14"/>
              <w:snapToGrid w:val="0"/>
              <w:spacing w:before="120" w:after="120" w:line="360" w:lineRule="auto"/>
              <w:rPr>
                <w:rFonts w:hAnsi="宋体"/>
                <w:color w:val="auto"/>
                <w:kern w:val="2"/>
                <w:sz w:val="21"/>
                <w:highlight w:val="none"/>
              </w:rPr>
            </w:pPr>
            <w:r>
              <w:rPr>
                <w:rFonts w:hint="eastAsia" w:hAnsi="宋体"/>
                <w:color w:val="auto"/>
                <w:kern w:val="2"/>
                <w:sz w:val="21"/>
                <w:highlight w:val="none"/>
              </w:rPr>
              <w:t>日期：      年    月    日</w:t>
            </w:r>
          </w:p>
        </w:tc>
      </w:tr>
    </w:tbl>
    <w:p>
      <w:pPr>
        <w:pStyle w:val="14"/>
        <w:snapToGrid w:val="0"/>
        <w:spacing w:before="120" w:after="120" w:line="360" w:lineRule="auto"/>
        <w:rPr>
          <w:rFonts w:hAnsi="宋体"/>
          <w:color w:val="auto"/>
          <w:sz w:val="21"/>
          <w:highlight w:val="none"/>
        </w:rPr>
      </w:pPr>
      <w:r>
        <w:rPr>
          <w:rFonts w:hint="eastAsia" w:hAnsi="宋体"/>
          <w:color w:val="auto"/>
          <w:sz w:val="21"/>
          <w:highlight w:val="none"/>
        </w:rPr>
        <w:t xml:space="preserve"> </w:t>
      </w:r>
    </w:p>
    <w:p>
      <w:pPr>
        <w:pStyle w:val="14"/>
        <w:snapToGrid w:val="0"/>
        <w:spacing w:before="120" w:after="120" w:line="360" w:lineRule="auto"/>
        <w:rPr>
          <w:rFonts w:hAnsi="宋体"/>
          <w:color w:val="auto"/>
          <w:sz w:val="21"/>
          <w:highlight w:val="none"/>
        </w:rPr>
      </w:pPr>
      <w:r>
        <w:rPr>
          <w:rFonts w:hint="eastAsia" w:hAnsi="宋体"/>
          <w:color w:val="auto"/>
          <w:sz w:val="21"/>
          <w:highlight w:val="none"/>
        </w:rPr>
        <w:t xml:space="preserve">  见证方：（江苏海外集团国际工程咨询有限公司）</w:t>
      </w:r>
    </w:p>
    <w:p>
      <w:pPr>
        <w:pStyle w:val="14"/>
        <w:snapToGrid w:val="0"/>
        <w:spacing w:before="120" w:after="120" w:line="360" w:lineRule="auto"/>
        <w:ind w:firstLine="210" w:firstLineChars="100"/>
        <w:rPr>
          <w:rFonts w:hAnsi="宋体"/>
          <w:color w:val="auto"/>
          <w:sz w:val="21"/>
          <w:highlight w:val="none"/>
        </w:rPr>
      </w:pPr>
      <w:r>
        <w:rPr>
          <w:rFonts w:hint="eastAsia" w:hAnsi="宋体"/>
          <w:color w:val="auto"/>
          <w:sz w:val="21"/>
          <w:highlight w:val="none"/>
        </w:rPr>
        <w:t>项目经办人：</w:t>
      </w:r>
      <w:r>
        <w:rPr>
          <w:rFonts w:hAnsi="宋体"/>
          <w:color w:val="auto"/>
          <w:sz w:val="21"/>
          <w:highlight w:val="none"/>
        </w:rPr>
        <w:t>XMCGJBR_1</w:t>
      </w:r>
    </w:p>
    <w:p>
      <w:pPr>
        <w:pStyle w:val="14"/>
        <w:snapToGrid w:val="0"/>
        <w:spacing w:before="120" w:after="120" w:line="360" w:lineRule="auto"/>
        <w:ind w:firstLine="210" w:firstLineChars="100"/>
        <w:rPr>
          <w:rFonts w:hAnsi="宋体"/>
          <w:color w:val="auto"/>
          <w:sz w:val="21"/>
          <w:highlight w:val="none"/>
        </w:rPr>
      </w:pPr>
      <w:r>
        <w:rPr>
          <w:rFonts w:hint="eastAsia" w:hAnsi="宋体"/>
          <w:color w:val="auto"/>
          <w:sz w:val="21"/>
          <w:highlight w:val="none"/>
        </w:rPr>
        <w:t>日期：     年   月   日</w:t>
      </w:r>
    </w:p>
    <w:p>
      <w:pPr>
        <w:rPr>
          <w:color w:val="auto"/>
          <w:highlight w:val="none"/>
        </w:rPr>
      </w:pPr>
      <w:r>
        <w:rPr>
          <w:color w:val="auto"/>
          <w:highlight w:val="none"/>
        </w:rPr>
        <w:br w:type="page"/>
      </w:r>
      <w:bookmarkEnd w:id="55"/>
    </w:p>
    <w:p>
      <w:pPr>
        <w:pStyle w:val="7"/>
        <w:numPr>
          <w:ilvl w:val="0"/>
          <w:numId w:val="2"/>
        </w:numPr>
        <w:jc w:val="center"/>
        <w:rPr>
          <w:color w:val="auto"/>
          <w:highlight w:val="none"/>
        </w:rPr>
      </w:pPr>
      <w:r>
        <w:rPr>
          <w:rFonts w:hint="eastAsia" w:ascii="宋体" w:hAnsi="宋体"/>
          <w:color w:val="auto"/>
          <w:highlight w:val="none"/>
        </w:rPr>
        <w:t>项目需求</w:t>
      </w:r>
    </w:p>
    <w:p>
      <w:pPr>
        <w:pStyle w:val="7"/>
        <w:spacing w:before="0"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一、</w:t>
      </w:r>
      <w:r>
        <w:rPr>
          <w:rFonts w:hint="eastAsia" w:ascii="宋体" w:hAnsi="宋体" w:cs="宋体"/>
          <w:color w:val="auto"/>
          <w:sz w:val="22"/>
          <w:szCs w:val="22"/>
          <w:highlight w:val="none"/>
        </w:rPr>
        <w:t>技术需求：</w:t>
      </w:r>
    </w:p>
    <w:p>
      <w:pPr>
        <w:spacing w:line="360" w:lineRule="auto"/>
        <w:rPr>
          <w:rFonts w:ascii="宋体" w:hAnsi="宋体" w:cs="宋体"/>
          <w:b/>
          <w:bCs/>
          <w:color w:val="auto"/>
          <w:highlight w:val="none"/>
        </w:rPr>
      </w:pPr>
      <w:r>
        <w:rPr>
          <w:rFonts w:hint="eastAsia" w:ascii="宋体" w:hAnsi="宋体" w:cs="宋体"/>
          <w:b/>
          <w:bCs/>
          <w:color w:val="auto"/>
          <w:highlight w:val="none"/>
        </w:rPr>
        <w:t>（一）现有设备情况：</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038"/>
        <w:gridCol w:w="1156"/>
        <w:gridCol w:w="169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60"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设备</w:t>
            </w:r>
          </w:p>
        </w:tc>
        <w:tc>
          <w:tcPr>
            <w:tcW w:w="1196"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型号</w:t>
            </w:r>
          </w:p>
        </w:tc>
        <w:tc>
          <w:tcPr>
            <w:tcW w:w="678"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数量（台）</w:t>
            </w:r>
          </w:p>
        </w:tc>
        <w:tc>
          <w:tcPr>
            <w:tcW w:w="9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启用年限</w:t>
            </w:r>
          </w:p>
        </w:tc>
        <w:tc>
          <w:tcPr>
            <w:tcW w:w="970"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60"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3.0T核磁共振</w:t>
            </w:r>
          </w:p>
        </w:tc>
        <w:tc>
          <w:tcPr>
            <w:tcW w:w="1196"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联影uMR780</w:t>
            </w:r>
          </w:p>
        </w:tc>
        <w:tc>
          <w:tcPr>
            <w:tcW w:w="678"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9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2020.4.16</w:t>
            </w:r>
          </w:p>
        </w:tc>
        <w:tc>
          <w:tcPr>
            <w:tcW w:w="970" w:type="pct"/>
            <w:vAlign w:val="center"/>
          </w:tcPr>
          <w:p>
            <w:pPr>
              <w:pStyle w:val="29"/>
              <w:spacing w:line="360" w:lineRule="auto"/>
              <w:jc w:val="center"/>
              <w:rPr>
                <w:rFonts w:ascii="宋体" w:hAnsi="宋体" w:cs="宋体"/>
                <w:color w:val="auto"/>
                <w:highlight w:val="none"/>
              </w:rPr>
            </w:pPr>
          </w:p>
        </w:tc>
      </w:tr>
    </w:tbl>
    <w:p>
      <w:pPr>
        <w:spacing w:line="360" w:lineRule="auto"/>
        <w:rPr>
          <w:rFonts w:ascii="宋体" w:hAnsi="宋体" w:cs="宋体"/>
          <w:b/>
          <w:bCs/>
          <w:color w:val="auto"/>
          <w:highlight w:val="none"/>
        </w:rPr>
      </w:pPr>
      <w:r>
        <w:rPr>
          <w:rFonts w:hint="eastAsia" w:ascii="宋体" w:hAnsi="宋体" w:cs="宋体"/>
          <w:b/>
          <w:bCs/>
          <w:color w:val="auto"/>
          <w:highlight w:val="none"/>
        </w:rPr>
        <w:t>（二）主要服务内容：</w:t>
      </w:r>
    </w:p>
    <w:p>
      <w:pPr>
        <w:spacing w:line="360" w:lineRule="auto"/>
        <w:rPr>
          <w:rFonts w:ascii="宋体" w:hAnsi="宋体" w:cs="宋体"/>
          <w:color w:val="auto"/>
          <w:highlight w:val="none"/>
        </w:rPr>
      </w:pPr>
      <w:r>
        <w:rPr>
          <w:rFonts w:hint="eastAsia" w:ascii="宋体" w:hAnsi="宋体" w:cs="宋体"/>
          <w:color w:val="auto"/>
          <w:highlight w:val="none"/>
        </w:rPr>
        <w:t>1、项目内容：联影uMR780医用核磁共振全保修服务。</w:t>
      </w:r>
    </w:p>
    <w:p>
      <w:pPr>
        <w:spacing w:line="360" w:lineRule="auto"/>
        <w:rPr>
          <w:rFonts w:ascii="宋体" w:hAnsi="宋体" w:cs="宋体"/>
          <w:color w:val="auto"/>
          <w:highlight w:val="none"/>
        </w:rPr>
      </w:pPr>
      <w:r>
        <w:rPr>
          <w:rFonts w:hint="eastAsia" w:ascii="宋体" w:hAnsi="宋体" w:cs="宋体"/>
          <w:color w:val="auto"/>
          <w:highlight w:val="none"/>
        </w:rPr>
        <w:t>2、维保时间：36个月（具体按甲乙双方约定之日起计）</w:t>
      </w:r>
    </w:p>
    <w:p>
      <w:pPr>
        <w:spacing w:line="360" w:lineRule="auto"/>
        <w:rPr>
          <w:rFonts w:ascii="宋体" w:hAnsi="宋体" w:cs="宋体"/>
          <w:color w:val="auto"/>
          <w:highlight w:val="none"/>
        </w:rPr>
      </w:pPr>
      <w:r>
        <w:rPr>
          <w:rFonts w:hint="eastAsia" w:ascii="宋体" w:hAnsi="宋体" w:cs="宋体"/>
          <w:color w:val="auto"/>
          <w:highlight w:val="none"/>
        </w:rPr>
        <w:t>3、项目范围：</w:t>
      </w:r>
    </w:p>
    <w:p>
      <w:pPr>
        <w:spacing w:line="360" w:lineRule="auto"/>
        <w:rPr>
          <w:rFonts w:ascii="宋体" w:hAnsi="宋体" w:cs="宋体"/>
          <w:color w:val="auto"/>
          <w:highlight w:val="none"/>
        </w:rPr>
      </w:pPr>
      <w:r>
        <w:rPr>
          <w:rFonts w:hint="eastAsia" w:ascii="宋体" w:hAnsi="宋体" w:cs="宋体"/>
          <w:color w:val="auto"/>
          <w:highlight w:val="none"/>
        </w:rPr>
        <w:t>3.1 设备现有故障维修费用；</w:t>
      </w:r>
    </w:p>
    <w:p>
      <w:pPr>
        <w:spacing w:line="360" w:lineRule="auto"/>
        <w:rPr>
          <w:rFonts w:ascii="宋体" w:hAnsi="宋体" w:cs="宋体"/>
          <w:color w:val="auto"/>
          <w:highlight w:val="none"/>
        </w:rPr>
      </w:pPr>
      <w:r>
        <w:rPr>
          <w:rFonts w:hint="eastAsia" w:ascii="宋体" w:hAnsi="宋体" w:cs="宋体"/>
          <w:color w:val="auto"/>
          <w:highlight w:val="none"/>
        </w:rPr>
        <w:t>3.2 联影uMR780医用核磁共振设备工作站V10平台升级、AI智能及加速平台升级费用；</w:t>
      </w:r>
    </w:p>
    <w:p>
      <w:pPr>
        <w:spacing w:line="360" w:lineRule="auto"/>
        <w:rPr>
          <w:rFonts w:ascii="宋体" w:hAnsi="宋体" w:cs="宋体"/>
          <w:color w:val="auto"/>
          <w:highlight w:val="none"/>
        </w:rPr>
      </w:pPr>
      <w:r>
        <w:rPr>
          <w:rFonts w:hint="eastAsia" w:ascii="宋体" w:hAnsi="宋体" w:cs="宋体"/>
          <w:color w:val="auto"/>
          <w:highlight w:val="none"/>
        </w:rPr>
        <w:t>3.3 维修保养范围要求的维保工作所需费用；(合同期内包含不限次数派工上门维修人工、整机主机、线圈、冷却系统（液氦+压缩机等）、水冷系统（冷头+水冷机等）、梯度系统、工作站、磁体、精密空调的保修及配件；</w:t>
      </w:r>
    </w:p>
    <w:p>
      <w:pPr>
        <w:spacing w:line="360" w:lineRule="auto"/>
        <w:rPr>
          <w:rFonts w:ascii="宋体" w:hAnsi="宋体" w:cs="宋体"/>
          <w:color w:val="auto"/>
          <w:highlight w:val="none"/>
        </w:rPr>
      </w:pPr>
      <w:r>
        <w:rPr>
          <w:rFonts w:hint="eastAsia" w:ascii="宋体" w:hAnsi="宋体" w:cs="宋体"/>
          <w:color w:val="auto"/>
          <w:highlight w:val="none"/>
        </w:rPr>
        <w:t>报价须包含以上所有项目的费用。</w:t>
      </w:r>
    </w:p>
    <w:p>
      <w:pPr>
        <w:spacing w:line="360" w:lineRule="auto"/>
        <w:rPr>
          <w:rFonts w:ascii="宋体" w:hAnsi="宋体" w:cs="宋体"/>
          <w:color w:val="auto"/>
          <w:highlight w:val="none"/>
        </w:rPr>
      </w:pPr>
      <w:r>
        <w:rPr>
          <w:rFonts w:hint="eastAsia" w:ascii="宋体" w:hAnsi="宋体" w:cs="宋体"/>
          <w:color w:val="auto"/>
          <w:highlight w:val="none"/>
        </w:rPr>
        <w:t>4、合同期内2次保养/年，出具全面维护计划及预防方案，按计划执行保养服务，每次保养完毕后提供保养报告。</w:t>
      </w:r>
    </w:p>
    <w:p>
      <w:pPr>
        <w:spacing w:line="360" w:lineRule="auto"/>
        <w:rPr>
          <w:rFonts w:ascii="宋体" w:hAnsi="宋体" w:cs="宋体"/>
          <w:color w:val="auto"/>
          <w:highlight w:val="none"/>
        </w:rPr>
      </w:pPr>
      <w:r>
        <w:rPr>
          <w:rFonts w:hint="eastAsia" w:ascii="宋体" w:hAnsi="宋体" w:cs="宋体"/>
          <w:color w:val="auto"/>
          <w:highlight w:val="none"/>
        </w:rPr>
        <w:t>5、如遇第三方机构进行设备状态检测时，中标人需负责调试设备并保证全部检测指标达标，包括记录设备状况和提供设备生产厂家保养内容清单。</w:t>
      </w:r>
    </w:p>
    <w:p>
      <w:pPr>
        <w:spacing w:line="360" w:lineRule="auto"/>
        <w:rPr>
          <w:rFonts w:ascii="宋体" w:hAnsi="宋体" w:cs="宋体"/>
          <w:b/>
          <w:bCs/>
          <w:color w:val="auto"/>
          <w:highlight w:val="none"/>
        </w:rPr>
      </w:pPr>
      <w:r>
        <w:rPr>
          <w:rFonts w:hint="eastAsia" w:ascii="宋体" w:hAnsi="宋体" w:cs="宋体"/>
          <w:b/>
          <w:bCs/>
          <w:color w:val="auto"/>
          <w:highlight w:val="none"/>
        </w:rPr>
        <w:t>（三）维保服务需求：</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维保期内提供维修所需的人工和备件更换（其他第三方产品除外）。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合同期内提供软件版本升级，确保所维保设备为最新软件版本（提供该型号软件最新版本图片证明文件）。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投标人保证设备处于优良运行状态，为设备提供安全检查、质量保证。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投标人保证设备符合相应的国内、国际机械电气标准。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所有更换的零备件必须为原厂备件（需提供原厂授权书或原厂零备件供货合同证明材料）。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投标人必须为所保修设备的生产企业，或具备设备生产企业针对本次招标项目单独出具专业售后服务授权书。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在国内设有配件仓库（提供仓库地址和联系人），配件到达设备现场≤24小时。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在江苏省内至少有5名驻点MR维修工程师并提供姓名联系方式。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rPr>
              <w:t>维修工程师必须持有设备制造商出具的同型号MR设备维修证书（提供维修证书复印件）。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lang w:val="en-AU"/>
              </w:rPr>
              <w:t>具备报修热线，并提供365天，7</w:t>
            </w:r>
            <w:r>
              <w:rPr>
                <w:rFonts w:hint="eastAsia" w:ascii="宋体" w:hAnsi="宋体" w:cs="宋体"/>
                <w:bCs/>
                <w:color w:val="auto"/>
                <w:szCs w:val="21"/>
                <w:highlight w:val="none"/>
              </w:rPr>
              <w:t>×</w:t>
            </w:r>
            <w:r>
              <w:rPr>
                <w:rFonts w:hint="eastAsia" w:ascii="宋体" w:hAnsi="宋体" w:cs="宋体"/>
                <w:bCs/>
                <w:color w:val="auto"/>
                <w:szCs w:val="21"/>
                <w:highlight w:val="none"/>
                <w:lang w:val="en-AU"/>
              </w:rPr>
              <w:t>24小时热线支持。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lang w:val="en-AU"/>
              </w:rPr>
              <w:t>电话报修首次响应时间≤2小时，工程师到达现场时间≤24小时。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505" w:type="pct"/>
          </w:tcPr>
          <w:p>
            <w:pPr>
              <w:pStyle w:val="29"/>
              <w:spacing w:line="360" w:lineRule="auto"/>
              <w:rPr>
                <w:rFonts w:ascii="宋体" w:hAnsi="宋体" w:cs="宋体"/>
                <w:bCs/>
                <w:color w:val="auto"/>
                <w:szCs w:val="21"/>
                <w:highlight w:val="none"/>
              </w:rPr>
            </w:pPr>
            <w:r>
              <w:rPr>
                <w:rFonts w:hint="eastAsia" w:ascii="宋体" w:hAnsi="宋体" w:cs="宋体"/>
                <w:bCs/>
                <w:color w:val="auto"/>
                <w:szCs w:val="21"/>
                <w:highlight w:val="none"/>
                <w:lang w:val="en-AU"/>
              </w:rPr>
              <w:t>预防性</w:t>
            </w:r>
            <w:r>
              <w:rPr>
                <w:rFonts w:hint="eastAsia" w:ascii="宋体" w:hAnsi="宋体" w:cs="宋体"/>
                <w:bCs/>
                <w:color w:val="auto"/>
                <w:szCs w:val="21"/>
                <w:highlight w:val="none"/>
              </w:rPr>
              <w:t>保养：≥2次/年，并提交维护保养报告。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4505" w:type="pct"/>
          </w:tcPr>
          <w:p>
            <w:pPr>
              <w:pStyle w:val="29"/>
              <w:spacing w:line="360" w:lineRule="auto"/>
              <w:rPr>
                <w:rFonts w:ascii="宋体" w:hAnsi="宋体" w:cs="宋体"/>
                <w:bCs/>
                <w:color w:val="auto"/>
                <w:szCs w:val="21"/>
                <w:highlight w:val="none"/>
                <w:lang w:val="en-AU"/>
              </w:rPr>
            </w:pPr>
            <w:r>
              <w:rPr>
                <w:rFonts w:hint="eastAsia" w:ascii="宋体" w:hAnsi="宋体" w:cs="宋体"/>
                <w:bCs/>
                <w:color w:val="auto"/>
                <w:szCs w:val="21"/>
                <w:highlight w:val="none"/>
              </w:rPr>
              <w:t>在正确使用设备的前提下，保证保修期内开机率</w:t>
            </w:r>
            <w:r>
              <w:rPr>
                <w:rFonts w:hint="eastAsia" w:ascii="宋体" w:hAnsi="宋体" w:cs="宋体"/>
                <w:bCs/>
                <w:color w:val="auto"/>
                <w:szCs w:val="21"/>
                <w:highlight w:val="none"/>
                <w:lang w:val="en-AU"/>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4" w:type="pct"/>
            <w:vAlign w:val="center"/>
          </w:tcPr>
          <w:p>
            <w:pPr>
              <w:pStyle w:val="29"/>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4505" w:type="pct"/>
          </w:tcPr>
          <w:p>
            <w:pPr>
              <w:pStyle w:val="29"/>
              <w:spacing w:line="360" w:lineRule="auto"/>
              <w:rPr>
                <w:rFonts w:ascii="宋体" w:hAnsi="宋体" w:cs="宋体"/>
                <w:bCs/>
                <w:color w:val="auto"/>
                <w:szCs w:val="21"/>
                <w:highlight w:val="none"/>
                <w:lang w:val="en-AU"/>
              </w:rPr>
            </w:pPr>
            <w:r>
              <w:rPr>
                <w:rFonts w:hint="eastAsia" w:ascii="宋体" w:hAnsi="宋体" w:cs="宋体"/>
                <w:bCs/>
                <w:color w:val="auto"/>
                <w:szCs w:val="21"/>
                <w:highlight w:val="none"/>
                <w:lang w:val="en-AU"/>
              </w:rPr>
              <w:t>投标人提供同品牌型号设备维保合同业绩复印件。</w:t>
            </w:r>
          </w:p>
        </w:tc>
      </w:tr>
    </w:tbl>
    <w:p>
      <w:pPr>
        <w:spacing w:line="360" w:lineRule="auto"/>
        <w:rPr>
          <w:rFonts w:ascii="宋体" w:hAnsi="宋体" w:cs="宋体"/>
          <w:b/>
          <w:bCs/>
          <w:color w:val="auto"/>
          <w:highlight w:val="none"/>
        </w:rPr>
      </w:pPr>
      <w:r>
        <w:rPr>
          <w:rFonts w:hint="eastAsia" w:ascii="宋体" w:hAnsi="宋体" w:cs="宋体"/>
          <w:b/>
          <w:bCs/>
          <w:color w:val="auto"/>
          <w:highlight w:val="none"/>
        </w:rPr>
        <w:t>（四）磁共振V10平台升级：</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智能定位与规划应用包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头部智能定位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脊柱智能定位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膝关节智能定位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1.4</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肩关节智能定位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1.5</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腹部智能定位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1.6</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心脏智能定位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1.7</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智能多协议扫描规划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智能降噪序列应用包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降噪专用序列包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SE及FSE降噪专用序列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GRE降噪专用序列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2.4</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DWI弥散降噪专用序列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2.5</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WFI水脂分离降噪专用序列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2.6</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MRA血管成像降噪专用序列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2.7</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MRS波谱成像降噪专用序列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2.8</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SWI磁敏感降噪专用序列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2.9</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Scout定位像降噪专用序列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2.10</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支持预扫描校准降噪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高级心脏应用包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3.1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高级心脏成像技术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3.2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心脏Tagging技术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3.3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心脏参数图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高级波谱应用包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4.1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三维多体素波谱成像技术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4.2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前列腺波谱成像技术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4.3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肝脏波谱成像技术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高级血管及水成像应用包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三维动脉自旋标记成像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SWI黑血技术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动态四维实时增强血管成像技术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5.4</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高级非增强血管成像技术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5.5</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流动定量成像技术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5.6</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三维屏气胰胆管水成像技术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高级扫描应用软件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在线拼接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虚拟弥散加权成像功能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微距弥散成像技术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6.4</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螺旋式K空间填充FSE弥散成像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6.5</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去金属伪影成像技术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6.6</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超短回波成像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4505" w:type="pct"/>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主机高级后处理软件包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7.1</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脑功能分析高级后处理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7.2</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脑灌注高级后处理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7.3</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弥散张量成像高级后处理及纤维束追踪技术后处理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7.4</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ADC定量后处理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7.5</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乳腺分析高级后处理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7.6</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参数定量高级后处理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7.7</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血管分析高级后处理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7.8</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心功能分析高级后处理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7.9</w:t>
            </w:r>
          </w:p>
        </w:tc>
        <w:tc>
          <w:tcPr>
            <w:tcW w:w="4505" w:type="pct"/>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心流量分析高级后处理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4505" w:type="pct"/>
            <w:shd w:val="clear" w:color="auto" w:fill="auto"/>
            <w:vAlign w:val="center"/>
          </w:tcPr>
          <w:p>
            <w:pPr>
              <w:pStyle w:val="29"/>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后处理工作站及高级应用后处理软件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独立原厂高级影像后处理工作站（相应功能由主机实现，后处理软件包配置在工作站上）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8.2</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灌注分析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8.3</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弥散张量成像高级后处理及纤维束追踪技术后处理（DTI&amp;DTT）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8.4</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磁共振脑功能分析（BOLD）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8.5</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波谱高级后处理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8.6</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ADC定量后处理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8.7</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T1&amp;T2&amp;T2*参数定量高级后处理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8.8</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图像融合高级后处理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8.9</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图像拼接高级后处理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8.10</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动态分析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8.11</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血管分析高级后处理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8.12</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仿真内窥镜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8.13</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乳腺分析高级后处理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8.14</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心功能分析高级后处理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szCs w:val="21"/>
                <w:highlight w:val="none"/>
                <w:lang w:val="en-AU"/>
              </w:rPr>
            </w:pPr>
            <w:r>
              <w:rPr>
                <w:rFonts w:hint="eastAsia" w:ascii="宋体" w:hAnsi="宋体" w:cs="宋体"/>
                <w:color w:val="auto"/>
                <w:szCs w:val="21"/>
                <w:highlight w:val="none"/>
                <w:lang w:val="en-AU"/>
              </w:rPr>
              <w:t>8.15</w:t>
            </w:r>
          </w:p>
        </w:tc>
        <w:tc>
          <w:tcPr>
            <w:tcW w:w="4505" w:type="pct"/>
            <w:shd w:val="clear" w:color="auto" w:fill="auto"/>
            <w:vAlign w:val="center"/>
          </w:tcPr>
          <w:p>
            <w:pPr>
              <w:pStyle w:val="29"/>
              <w:spacing w:line="360" w:lineRule="auto"/>
              <w:jc w:val="left"/>
              <w:rPr>
                <w:rFonts w:ascii="宋体" w:hAnsi="宋体" w:cs="宋体"/>
                <w:color w:val="auto"/>
                <w:szCs w:val="21"/>
                <w:highlight w:val="none"/>
                <w:lang w:val="en-AU"/>
              </w:rPr>
            </w:pPr>
            <w:r>
              <w:rPr>
                <w:rFonts w:hint="eastAsia" w:ascii="宋体" w:hAnsi="宋体" w:cs="宋体"/>
                <w:color w:val="auto"/>
                <w:szCs w:val="21"/>
                <w:highlight w:val="none"/>
                <w:lang w:val="en-AU"/>
              </w:rPr>
              <w:t>心流量分析高级后处理</w:t>
            </w:r>
          </w:p>
        </w:tc>
      </w:tr>
    </w:tbl>
    <w:p>
      <w:pPr>
        <w:spacing w:line="360" w:lineRule="auto"/>
        <w:rPr>
          <w:rFonts w:ascii="宋体" w:hAnsi="宋体" w:cs="宋体"/>
          <w:b/>
          <w:bCs/>
          <w:color w:val="auto"/>
          <w:highlight w:val="none"/>
        </w:rPr>
      </w:pPr>
      <w:r>
        <w:rPr>
          <w:rFonts w:hint="eastAsia" w:ascii="宋体" w:hAnsi="宋体" w:cs="宋体"/>
          <w:b/>
          <w:bCs/>
          <w:color w:val="auto"/>
          <w:highlight w:val="none"/>
        </w:rPr>
        <w:t>（五）</w:t>
      </w:r>
      <w:r>
        <w:rPr>
          <w:rFonts w:hint="eastAsia"/>
          <w:b/>
          <w:color w:val="auto"/>
          <w:highlight w:val="none"/>
        </w:rPr>
        <w:t>磁共振加速增强平台</w:t>
      </w:r>
      <w:r>
        <w:rPr>
          <w:rFonts w:hint="eastAsia" w:ascii="宋体" w:hAnsi="宋体" w:cs="宋体"/>
          <w:b/>
          <w:bCs/>
          <w:color w:val="auto"/>
          <w:highlight w:val="none"/>
        </w:rPr>
        <w:t>：</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4506" w:type="pct"/>
          </w:tcPr>
          <w:p>
            <w:pPr>
              <w:pStyle w:val="29"/>
              <w:spacing w:line="360" w:lineRule="auto"/>
              <w:rPr>
                <w:rFonts w:ascii="宋体" w:hAnsi="宋体" w:cs="宋体"/>
                <w:color w:val="auto"/>
                <w:highlight w:val="none"/>
              </w:rPr>
            </w:pPr>
            <w:r>
              <w:rPr>
                <w:rFonts w:hint="eastAsia" w:ascii="宋体" w:hAnsi="宋体" w:cs="宋体"/>
                <w:color w:val="auto"/>
                <w:szCs w:val="21"/>
                <w:highlight w:val="none"/>
              </w:rPr>
              <w:t>兼容性：兼容主流品牌磁共振设备（GE、西门子、飞利浦、联影、东芝等）。兼容任意场强的磁共振，包含但不限于：0.35T，1.5T，3.0T。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4506" w:type="pct"/>
          </w:tcPr>
          <w:p>
            <w:pPr>
              <w:pStyle w:val="29"/>
              <w:spacing w:line="360" w:lineRule="auto"/>
              <w:rPr>
                <w:rFonts w:ascii="宋体" w:hAnsi="宋体" w:cs="宋体"/>
                <w:color w:val="auto"/>
                <w:highlight w:val="none"/>
              </w:rPr>
            </w:pPr>
            <w:r>
              <w:rPr>
                <w:rFonts w:hint="eastAsia" w:ascii="宋体" w:hAnsi="宋体" w:cs="宋体"/>
                <w:color w:val="auto"/>
                <w:szCs w:val="21"/>
                <w:highlight w:val="none"/>
              </w:rPr>
              <w:t>加速效率：提升磁共振扫描速度≥40%。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4506" w:type="pct"/>
          </w:tcPr>
          <w:p>
            <w:pPr>
              <w:pStyle w:val="29"/>
              <w:spacing w:line="360" w:lineRule="auto"/>
              <w:rPr>
                <w:rFonts w:ascii="宋体" w:hAnsi="宋体" w:cs="宋体"/>
                <w:color w:val="auto"/>
                <w:highlight w:val="none"/>
              </w:rPr>
            </w:pPr>
            <w:r>
              <w:rPr>
                <w:rFonts w:hint="eastAsia" w:ascii="宋体" w:hAnsi="宋体" w:cs="宋体"/>
                <w:color w:val="auto"/>
                <w:szCs w:val="21"/>
                <w:highlight w:val="none"/>
              </w:rPr>
              <w:t>适用序列：适用于磁共振所有常规序列，提供5个部位加速。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4506"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图像去噪效果：输出图像的SNR不低于未处理图像的SNR 的1.2倍。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pStyle w:val="29"/>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4506" w:type="pct"/>
          </w:tcPr>
          <w:p>
            <w:pPr>
              <w:pStyle w:val="29"/>
              <w:spacing w:line="360" w:lineRule="auto"/>
              <w:rPr>
                <w:rFonts w:ascii="宋体" w:hAnsi="宋体" w:cs="宋体"/>
                <w:color w:val="auto"/>
                <w:highlight w:val="none"/>
              </w:rPr>
            </w:pPr>
            <w:r>
              <w:rPr>
                <w:rFonts w:hint="eastAsia" w:ascii="宋体" w:hAnsi="宋体" w:cs="宋体"/>
                <w:color w:val="auto"/>
                <w:szCs w:val="21"/>
                <w:highlight w:val="none"/>
              </w:rPr>
              <w:t>图像增强效果：经处理的图像中的低对比度目标可检测性高于或等于相应的未处理图像。</w:t>
            </w:r>
          </w:p>
        </w:tc>
      </w:tr>
    </w:tbl>
    <w:p>
      <w:pPr>
        <w:spacing w:line="360" w:lineRule="auto"/>
        <w:rPr>
          <w:color w:val="auto"/>
          <w:highlight w:val="none"/>
        </w:rPr>
      </w:pPr>
      <w:r>
        <w:rPr>
          <w:rFonts w:hint="eastAsia" w:ascii="宋体" w:hAnsi="宋体" w:cs="宋体"/>
          <w:b/>
          <w:bCs/>
          <w:color w:val="auto"/>
          <w:highlight w:val="none"/>
        </w:rPr>
        <w:t>（六）</w:t>
      </w:r>
      <w:r>
        <w:rPr>
          <w:rFonts w:hint="eastAsia" w:ascii="宋体" w:hAnsi="宋体" w:cs="宋体"/>
          <w:b/>
          <w:bCs/>
          <w:color w:val="auto"/>
          <w:szCs w:val="21"/>
          <w:highlight w:val="none"/>
        </w:rPr>
        <w:t>人工智能AI软件包：</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Pr>
          <w:p>
            <w:pPr>
              <w:pStyle w:val="2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506" w:type="pct"/>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提供A</w:t>
            </w:r>
            <w:r>
              <w:rPr>
                <w:rFonts w:ascii="宋体" w:hAnsi="宋体" w:cs="宋体"/>
                <w:color w:val="auto"/>
                <w:szCs w:val="21"/>
                <w:highlight w:val="none"/>
              </w:rPr>
              <w:t>I</w:t>
            </w:r>
            <w:r>
              <w:rPr>
                <w:rFonts w:hint="eastAsia" w:ascii="宋体" w:hAnsi="宋体" w:cs="宋体"/>
                <w:color w:val="auto"/>
                <w:szCs w:val="21"/>
                <w:highlight w:val="none"/>
              </w:rPr>
              <w:t>平台工作站及配套硬件一套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Pr>
          <w:p>
            <w:pPr>
              <w:pStyle w:val="2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506" w:type="pct"/>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提供冠脉CT造影影像处理软件一套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4" w:type="pct"/>
          </w:tcPr>
          <w:p>
            <w:pPr>
              <w:pStyle w:val="29"/>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506" w:type="pct"/>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提供胸部CT影像处理软件一套（含肺结节CT影像辅助检测功能）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4" w:type="pct"/>
          </w:tcPr>
          <w:p>
            <w:pPr>
              <w:pStyle w:val="29"/>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506" w:type="pct"/>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提供骨折CT影像辅助检测软件一套</w:t>
            </w:r>
          </w:p>
        </w:tc>
      </w:tr>
    </w:tbl>
    <w:p>
      <w:pPr>
        <w:rPr>
          <w:color w:val="auto"/>
          <w:highlight w:val="none"/>
        </w:rPr>
      </w:pPr>
    </w:p>
    <w:p>
      <w:pPr>
        <w:rPr>
          <w:rFonts w:ascii="宋体" w:hAnsi="宋体" w:cs="宋体"/>
          <w:bCs/>
          <w:snapToGrid w:val="0"/>
          <w:color w:val="auto"/>
          <w:szCs w:val="24"/>
          <w:highlight w:val="none"/>
          <w:lang w:val="zh-CN"/>
        </w:rPr>
      </w:pPr>
      <w:bookmarkStart w:id="56" w:name="_Toc55204181"/>
      <w:r>
        <w:rPr>
          <w:rFonts w:hint="eastAsia" w:ascii="宋体" w:hAnsi="宋体" w:cs="宋体"/>
          <w:bCs/>
          <w:snapToGrid w:val="0"/>
          <w:color w:val="auto"/>
          <w:szCs w:val="24"/>
          <w:highlight w:val="none"/>
          <w:lang w:val="zh-CN"/>
        </w:rPr>
        <w:br w:type="page"/>
      </w:r>
    </w:p>
    <w:p>
      <w:pPr>
        <w:rPr>
          <w:rFonts w:ascii="宋体" w:hAnsi="宋体"/>
          <w:color w:val="auto"/>
          <w:highlight w:val="none"/>
        </w:rPr>
      </w:pPr>
      <w:r>
        <w:rPr>
          <w:rFonts w:hint="eastAsia" w:ascii="宋体" w:hAnsi="宋体" w:cs="宋体"/>
          <w:bCs/>
          <w:snapToGrid w:val="0"/>
          <w:color w:val="auto"/>
          <w:szCs w:val="24"/>
          <w:highlight w:val="none"/>
          <w:lang w:val="zh-CN"/>
        </w:rPr>
        <w:t>★</w:t>
      </w:r>
      <w:r>
        <w:rPr>
          <w:rFonts w:hint="eastAsia" w:ascii="宋体" w:hAnsi="宋体"/>
          <w:color w:val="auto"/>
          <w:highlight w:val="none"/>
        </w:rPr>
        <w:t>二、商务需求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0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vAlign w:val="center"/>
          </w:tcPr>
          <w:p>
            <w:pPr>
              <w:autoSpaceDE w:val="0"/>
              <w:autoSpaceDN w:val="0"/>
              <w:adjustRightInd w:val="0"/>
              <w:snapToGrid w:val="0"/>
              <w:jc w:val="center"/>
              <w:rPr>
                <w:rFonts w:hAnsi="宋体" w:cs="宋体"/>
                <w:snapToGrid w:val="0"/>
                <w:color w:val="auto"/>
                <w:szCs w:val="24"/>
                <w:highlight w:val="none"/>
                <w:lang w:val="zh-CN"/>
              </w:rPr>
            </w:pPr>
            <w:r>
              <w:rPr>
                <w:rFonts w:hint="eastAsia" w:hAnsi="宋体" w:cs="宋体"/>
                <w:snapToGrid w:val="0"/>
                <w:color w:val="auto"/>
                <w:szCs w:val="24"/>
                <w:highlight w:val="none"/>
                <w:lang w:val="zh-CN"/>
              </w:rPr>
              <w:t>序号</w:t>
            </w:r>
          </w:p>
        </w:tc>
        <w:tc>
          <w:tcPr>
            <w:tcW w:w="1237" w:type="pct"/>
            <w:vAlign w:val="center"/>
          </w:tcPr>
          <w:p>
            <w:pPr>
              <w:autoSpaceDE w:val="0"/>
              <w:autoSpaceDN w:val="0"/>
              <w:adjustRightInd w:val="0"/>
              <w:snapToGrid w:val="0"/>
              <w:jc w:val="center"/>
              <w:rPr>
                <w:rFonts w:hAnsi="宋体" w:cs="宋体"/>
                <w:snapToGrid w:val="0"/>
                <w:color w:val="auto"/>
                <w:szCs w:val="24"/>
                <w:highlight w:val="none"/>
                <w:lang w:val="zh-CN"/>
              </w:rPr>
            </w:pPr>
            <w:r>
              <w:rPr>
                <w:rFonts w:hint="eastAsia" w:hAnsi="宋体" w:cs="宋体"/>
                <w:snapToGrid w:val="0"/>
                <w:color w:val="auto"/>
                <w:szCs w:val="24"/>
                <w:highlight w:val="none"/>
                <w:lang w:val="zh-CN"/>
              </w:rPr>
              <w:t>商务和服务项目</w:t>
            </w:r>
          </w:p>
        </w:tc>
        <w:tc>
          <w:tcPr>
            <w:tcW w:w="3284" w:type="pct"/>
            <w:vAlign w:val="center"/>
          </w:tcPr>
          <w:p>
            <w:pPr>
              <w:autoSpaceDE w:val="0"/>
              <w:autoSpaceDN w:val="0"/>
              <w:adjustRightInd w:val="0"/>
              <w:snapToGrid w:val="0"/>
              <w:jc w:val="center"/>
              <w:rPr>
                <w:rFonts w:hAnsi="宋体" w:cs="宋体"/>
                <w:snapToGrid w:val="0"/>
                <w:color w:val="auto"/>
                <w:szCs w:val="24"/>
                <w:highlight w:val="none"/>
                <w:lang w:val="zh-CN"/>
              </w:rPr>
            </w:pPr>
            <w:r>
              <w:rPr>
                <w:rFonts w:hint="eastAsia" w:hAnsi="宋体" w:cs="宋体"/>
                <w:snapToGrid w:val="0"/>
                <w:color w:val="auto"/>
                <w:szCs w:val="24"/>
                <w:highlight w:val="none"/>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pPr>
              <w:autoSpaceDE w:val="0"/>
              <w:autoSpaceDN w:val="0"/>
              <w:adjustRightInd w:val="0"/>
              <w:snapToGrid w:val="0"/>
              <w:jc w:val="center"/>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4"/>
                <w:highlight w:val="none"/>
                <w:u w:val="single"/>
                <w:lang w:val="zh-CN"/>
              </w:rPr>
              <w:t>1</w:t>
            </w:r>
          </w:p>
        </w:tc>
        <w:tc>
          <w:tcPr>
            <w:tcW w:w="1237" w:type="pct"/>
            <w:vAlign w:val="center"/>
          </w:tcPr>
          <w:p>
            <w:pPr>
              <w:widowControl/>
              <w:spacing w:line="360" w:lineRule="auto"/>
              <w:jc w:val="center"/>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4"/>
                <w:highlight w:val="none"/>
                <w:u w:val="single"/>
                <w:lang w:val="zh-CN"/>
              </w:rPr>
              <w:t>服务期限</w:t>
            </w:r>
          </w:p>
        </w:tc>
        <w:tc>
          <w:tcPr>
            <w:tcW w:w="3284" w:type="pct"/>
            <w:vAlign w:val="center"/>
          </w:tcPr>
          <w:p>
            <w:pPr>
              <w:widowControl/>
              <w:spacing w:line="360" w:lineRule="auto"/>
              <w:jc w:val="left"/>
              <w:rPr>
                <w:rFonts w:ascii="宋体" w:hAnsi="宋体" w:cs="宋体"/>
                <w:b/>
                <w:i/>
                <w:iCs/>
                <w:snapToGrid w:val="0"/>
                <w:color w:val="auto"/>
                <w:szCs w:val="24"/>
                <w:highlight w:val="none"/>
                <w:u w:val="single"/>
              </w:rPr>
            </w:pPr>
            <w:r>
              <w:rPr>
                <w:rFonts w:hint="eastAsia" w:ascii="宋体" w:hAnsi="宋体" w:cs="宋体"/>
                <w:b/>
                <w:i/>
                <w:iCs/>
                <w:color w:val="auto"/>
                <w:szCs w:val="21"/>
                <w:highlight w:val="none"/>
                <w:u w:val="single"/>
              </w:rPr>
              <w:t>服务期：36个月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pPr>
              <w:autoSpaceDE w:val="0"/>
              <w:autoSpaceDN w:val="0"/>
              <w:adjustRightInd w:val="0"/>
              <w:snapToGrid w:val="0"/>
              <w:jc w:val="center"/>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4"/>
                <w:highlight w:val="none"/>
                <w:u w:val="single"/>
                <w:lang w:val="zh-CN"/>
              </w:rPr>
              <w:t>2</w:t>
            </w:r>
          </w:p>
        </w:tc>
        <w:tc>
          <w:tcPr>
            <w:tcW w:w="1237" w:type="pct"/>
            <w:vAlign w:val="center"/>
          </w:tcPr>
          <w:p>
            <w:pPr>
              <w:widowControl/>
              <w:spacing w:line="360" w:lineRule="auto"/>
              <w:jc w:val="center"/>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1"/>
                <w:highlight w:val="none"/>
                <w:u w:val="single"/>
                <w:lang w:val="zh-CN"/>
              </w:rPr>
              <w:t>服务地点</w:t>
            </w:r>
          </w:p>
        </w:tc>
        <w:tc>
          <w:tcPr>
            <w:tcW w:w="3284" w:type="pct"/>
            <w:vAlign w:val="center"/>
          </w:tcPr>
          <w:p>
            <w:pPr>
              <w:widowControl/>
              <w:spacing w:line="360" w:lineRule="auto"/>
              <w:jc w:val="left"/>
              <w:rPr>
                <w:rFonts w:ascii="宋体" w:hAnsi="宋体" w:cs="宋体"/>
                <w:b/>
                <w:i/>
                <w:iCs/>
                <w:snapToGrid w:val="0"/>
                <w:color w:val="auto"/>
                <w:szCs w:val="24"/>
                <w:highlight w:val="none"/>
                <w:u w:val="single"/>
                <w:lang w:val="zh-CN"/>
              </w:rPr>
            </w:pPr>
            <w:r>
              <w:rPr>
                <w:rFonts w:hint="eastAsia" w:ascii="宋体" w:hAnsi="宋体" w:cs="宋体"/>
                <w:b/>
                <w:i/>
                <w:iCs/>
                <w:color w:val="auto"/>
                <w:highlight w:val="none"/>
                <w:u w:val="single"/>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autoSpaceDE w:val="0"/>
              <w:autoSpaceDN w:val="0"/>
              <w:adjustRightInd w:val="0"/>
              <w:snapToGrid w:val="0"/>
              <w:spacing w:line="360" w:lineRule="auto"/>
              <w:jc w:val="center"/>
              <w:rPr>
                <w:rFonts w:ascii="宋体" w:hAnsi="宋体" w:cs="宋体"/>
                <w:b/>
                <w:i/>
                <w:iCs/>
                <w:snapToGrid w:val="0"/>
                <w:color w:val="auto"/>
                <w:szCs w:val="24"/>
                <w:highlight w:val="none"/>
                <w:u w:val="single"/>
              </w:rPr>
            </w:pPr>
            <w:r>
              <w:rPr>
                <w:rFonts w:hint="eastAsia" w:ascii="宋体" w:hAnsi="宋体" w:cs="宋体"/>
                <w:b/>
                <w:i/>
                <w:iCs/>
                <w:snapToGrid w:val="0"/>
                <w:color w:val="auto"/>
                <w:szCs w:val="24"/>
                <w:highlight w:val="none"/>
                <w:u w:val="single"/>
              </w:rPr>
              <w:t>3</w:t>
            </w:r>
          </w:p>
        </w:tc>
        <w:tc>
          <w:tcPr>
            <w:tcW w:w="1237" w:type="pct"/>
            <w:vAlign w:val="center"/>
          </w:tcPr>
          <w:p>
            <w:pPr>
              <w:widowControl/>
              <w:spacing w:line="360" w:lineRule="auto"/>
              <w:jc w:val="center"/>
              <w:rPr>
                <w:rFonts w:ascii="宋体" w:hAnsi="宋体" w:cs="宋体"/>
                <w:b/>
                <w:i/>
                <w:iCs/>
                <w:snapToGrid w:val="0"/>
                <w:color w:val="auto"/>
                <w:szCs w:val="24"/>
                <w:highlight w:val="none"/>
                <w:u w:val="single"/>
                <w:lang w:val="zh-CN"/>
              </w:rPr>
            </w:pPr>
            <w:r>
              <w:rPr>
                <w:rFonts w:hint="eastAsia" w:ascii="宋体" w:hAnsi="宋体" w:cs="宋体"/>
                <w:b/>
                <w:i/>
                <w:iCs/>
                <w:color w:val="auto"/>
                <w:szCs w:val="24"/>
                <w:highlight w:val="none"/>
                <w:u w:val="single"/>
              </w:rPr>
              <w:t>付款方式</w:t>
            </w:r>
          </w:p>
        </w:tc>
        <w:tc>
          <w:tcPr>
            <w:tcW w:w="3284" w:type="pct"/>
          </w:tcPr>
          <w:p>
            <w:pPr>
              <w:widowControl/>
              <w:spacing w:line="360" w:lineRule="auto"/>
              <w:jc w:val="left"/>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4"/>
                <w:highlight w:val="none"/>
                <w:u w:val="single"/>
                <w:lang w:val="zh-CN"/>
              </w:rPr>
              <w:t>设备现有故障维修费用报价及联影uMR780医用核磁共振设备工作站V10平台升级、AI智能及加速平台升级费用报价在合同签署后，采购人组织验收部门进行验收。验收完成并在收到中标人开出的发票30天内完成支付；</w:t>
            </w:r>
          </w:p>
          <w:p>
            <w:pPr>
              <w:widowControl/>
              <w:spacing w:line="360" w:lineRule="auto"/>
              <w:jc w:val="left"/>
              <w:rPr>
                <w:rFonts w:ascii="宋体" w:hAnsi="宋体" w:cs="宋体"/>
                <w:b/>
                <w:i/>
                <w:iCs/>
                <w:snapToGrid w:val="0"/>
                <w:color w:val="auto"/>
                <w:szCs w:val="24"/>
                <w:highlight w:val="none"/>
                <w:u w:val="single"/>
                <w:lang w:val="zh-CN"/>
              </w:rPr>
            </w:pPr>
            <w:r>
              <w:rPr>
                <w:rFonts w:hint="eastAsia" w:ascii="宋体" w:hAnsi="宋体" w:cs="宋体"/>
                <w:b/>
                <w:i/>
                <w:iCs/>
                <w:snapToGrid w:val="0"/>
                <w:color w:val="auto"/>
                <w:szCs w:val="24"/>
                <w:highlight w:val="none"/>
                <w:u w:val="single"/>
                <w:lang w:val="zh-CN"/>
              </w:rPr>
              <w:t>设备现有故障维修费用及设备工作站平台升级项目费用在合同签署后一次性支付全额款项；即第一期支付总合同价格75%，后续按年均付，每合同年度开始时，在收到中标人开出发票30天内支付本年度维保服务合同款。</w:t>
            </w:r>
          </w:p>
        </w:tc>
      </w:tr>
    </w:tbl>
    <w:p>
      <w:pPr>
        <w:widowControl/>
        <w:spacing w:line="360" w:lineRule="auto"/>
        <w:jc w:val="center"/>
        <w:rPr>
          <w:rFonts w:ascii="宋体" w:hAnsi="宋体" w:cs="宋体"/>
          <w:b/>
          <w:snapToGrid w:val="0"/>
          <w:color w:val="auto"/>
          <w:szCs w:val="24"/>
          <w:highlight w:val="none"/>
          <w:u w:val="single"/>
          <w:lang w:val="zh-CN"/>
        </w:rPr>
      </w:pPr>
      <w:r>
        <w:rPr>
          <w:rFonts w:hint="eastAsia" w:ascii="宋体" w:hAnsi="宋体" w:cs="宋体"/>
          <w:b/>
          <w:snapToGrid w:val="0"/>
          <w:color w:val="auto"/>
          <w:szCs w:val="24"/>
          <w:highlight w:val="none"/>
          <w:u w:val="single"/>
          <w:lang w:val="zh-CN"/>
        </w:rPr>
        <w:t>*注: 商务需求中所有指标必须全部响应，任意一项不满足将判定为无效投标</w:t>
      </w:r>
    </w:p>
    <w:p>
      <w:pPr>
        <w:autoSpaceDE w:val="0"/>
        <w:autoSpaceDN w:val="0"/>
        <w:adjustRightInd w:val="0"/>
        <w:snapToGrid w:val="0"/>
        <w:spacing w:line="360" w:lineRule="auto"/>
        <w:jc w:val="left"/>
        <w:rPr>
          <w:rFonts w:ascii="宋体" w:hAnsi="宋体" w:cs="宋体"/>
          <w:b/>
          <w:bCs/>
          <w:color w:val="auto"/>
          <w:szCs w:val="21"/>
          <w:highlight w:val="none"/>
        </w:rPr>
      </w:pPr>
    </w:p>
    <w:p>
      <w:pPr>
        <w:autoSpaceDE w:val="0"/>
        <w:autoSpaceDN w:val="0"/>
        <w:adjustRightInd w:val="0"/>
        <w:snapToGrid w:val="0"/>
        <w:spacing w:line="360" w:lineRule="auto"/>
        <w:jc w:val="left"/>
        <w:rPr>
          <w:rFonts w:ascii="宋体" w:hAnsi="宋体" w:cs="宋体"/>
          <w:b/>
          <w:bCs/>
          <w:color w:val="auto"/>
          <w:szCs w:val="21"/>
          <w:highlight w:val="none"/>
        </w:rPr>
      </w:pPr>
    </w:p>
    <w:p>
      <w:pPr>
        <w:autoSpaceDE w:val="0"/>
        <w:autoSpaceDN w:val="0"/>
        <w:adjustRightInd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三、项目其它要求：</w:t>
      </w:r>
    </w:p>
    <w:p>
      <w:pPr>
        <w:adjustRightInd w:val="0"/>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1、投标文件整体编制：投标文件应编制规范，内容齐全，所有招标文件要求内容无缺漏，条理清晰、编制有详细的总目录、章节目录和细目等便于评委查询。</w:t>
      </w:r>
    </w:p>
    <w:p>
      <w:pPr>
        <w:adjustRightInd w:val="0"/>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2、产品质量、功能、技术先进性：本次投标产品应有完善的质量保证措施，参数满足招标文件要求，制造工艺成熟，技术先进，功能齐备。</w:t>
      </w:r>
    </w:p>
    <w:p>
      <w:pPr>
        <w:adjustRightInd w:val="0"/>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常用零配件保障措施：供应商应有完善的零配件保障措施，可以有效应对设备日常维保及损坏维修需要。确保设备在出现故障后，有效保障供应商在采购人规定的时间内完成修复工作，并使设备在寿命周期内正常稳定运行。</w:t>
      </w:r>
    </w:p>
    <w:p>
      <w:pPr>
        <w:adjustRightInd w:val="0"/>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4、增值服务或优惠内容：供应商可针对本项目提出针对性的增值服务或优惠内容，服务应考虑周到，对采购人具备实际价值（例如：可有效降低设备使用成本、优化设备使用效率或提升日常服务体验等，具体由供应商自选考虑）。</w:t>
      </w:r>
    </w:p>
    <w:p>
      <w:pPr>
        <w:adjustRightInd w:val="0"/>
        <w:snapToGrid w:val="0"/>
        <w:spacing w:line="360" w:lineRule="auto"/>
        <w:rPr>
          <w:rFonts w:ascii="宋体" w:hAnsi="宋体" w:cs="宋体"/>
          <w:b/>
          <w:color w:val="auto"/>
          <w:szCs w:val="21"/>
          <w:highlight w:val="none"/>
        </w:rPr>
      </w:pPr>
    </w:p>
    <w:p>
      <w:pPr>
        <w:adjustRightInd w:val="0"/>
        <w:snapToGrid w:val="0"/>
        <w:spacing w:line="360" w:lineRule="auto"/>
        <w:rPr>
          <w:rFonts w:ascii="宋体" w:hAnsi="宋体" w:cs="宋体"/>
          <w:b/>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四、现场踏勘时间、地点：</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组织现场踏勘。供应商可自行前往现场查看相关情况，遵守采购人疫情防控相关要求，并不得影响采购人正常工作秩序。中标后，供应商不得以现场情况未了解清楚为由向采购人提出提升投标报价或其他任何要求。</w:t>
      </w:r>
    </w:p>
    <w:p>
      <w:pPr>
        <w:pStyle w:val="13"/>
        <w:adjustRightInd w:val="0"/>
        <w:snapToGrid w:val="0"/>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五、履约保证金：</w:t>
      </w:r>
    </w:p>
    <w:p>
      <w:pPr>
        <w:rPr>
          <w:color w:val="auto"/>
          <w:highlight w:val="none"/>
        </w:rPr>
      </w:pPr>
      <w:r>
        <w:rPr>
          <w:rFonts w:hint="eastAsia"/>
          <w:color w:val="auto"/>
          <w:highlight w:val="none"/>
        </w:rPr>
        <w:t>本项目不收取履约保证金。</w:t>
      </w:r>
    </w:p>
    <w:p>
      <w:pPr>
        <w:rPr>
          <w:rFonts w:ascii="宋体" w:hAnsi="宋体"/>
          <w:color w:val="auto"/>
          <w:highlight w:val="none"/>
        </w:rPr>
      </w:pPr>
      <w:r>
        <w:rPr>
          <w:rFonts w:hint="eastAsia" w:ascii="宋体" w:hAnsi="宋体"/>
          <w:color w:val="auto"/>
          <w:highlight w:val="none"/>
        </w:rPr>
        <w:br w:type="page"/>
      </w:r>
    </w:p>
    <w:p>
      <w:pPr>
        <w:pStyle w:val="7"/>
        <w:jc w:val="center"/>
        <w:rPr>
          <w:rFonts w:ascii="宋体" w:hAnsi="宋体"/>
          <w:color w:val="auto"/>
          <w:highlight w:val="none"/>
        </w:rPr>
      </w:pPr>
      <w:r>
        <w:rPr>
          <w:rFonts w:hint="eastAsia" w:ascii="宋体" w:hAnsi="宋体"/>
          <w:color w:val="auto"/>
          <w:highlight w:val="none"/>
        </w:rPr>
        <w:t>第五章 评标方法及评标标准</w:t>
      </w:r>
      <w:bookmarkEnd w:id="56"/>
    </w:p>
    <w:p>
      <w:pPr>
        <w:pStyle w:val="26"/>
        <w:ind w:firstLine="422" w:firstLineChars="200"/>
        <w:rPr>
          <w:rFonts w:ascii="宋体" w:hAnsi="宋体"/>
          <w:b/>
          <w:color w:val="auto"/>
          <w:kern w:val="2"/>
          <w:sz w:val="21"/>
          <w:szCs w:val="21"/>
          <w:highlight w:val="none"/>
        </w:rPr>
      </w:pPr>
      <w:r>
        <w:rPr>
          <w:rFonts w:hint="eastAsia" w:ascii="宋体" w:hAnsi="宋体"/>
          <w:b/>
          <w:color w:val="auto"/>
          <w:kern w:val="2"/>
          <w:sz w:val="21"/>
          <w:szCs w:val="21"/>
          <w:highlight w:val="none"/>
        </w:rPr>
        <w:t>一、评标方法</w:t>
      </w:r>
    </w:p>
    <w:p>
      <w:pPr>
        <w:pStyle w:val="26"/>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宋体" w:hAnsi="宋体"/>
          <w:b/>
          <w:color w:val="auto"/>
          <w:szCs w:val="21"/>
          <w:highlight w:val="none"/>
        </w:rPr>
      </w:pPr>
      <w:bookmarkStart w:id="57" w:name="_Toc449016388"/>
      <w:bookmarkStart w:id="58" w:name="_Toc449017024"/>
      <w:r>
        <w:rPr>
          <w:rFonts w:ascii="宋体" w:hAnsi="宋体"/>
          <w:b/>
          <w:color w:val="auto"/>
          <w:szCs w:val="21"/>
          <w:highlight w:val="none"/>
        </w:rPr>
        <w:t>二、</w:t>
      </w:r>
      <w:r>
        <w:rPr>
          <w:rFonts w:hint="eastAsia" w:ascii="宋体" w:hAnsi="宋体"/>
          <w:b/>
          <w:color w:val="auto"/>
          <w:szCs w:val="21"/>
          <w:highlight w:val="none"/>
        </w:rPr>
        <w:t>政府采购政策功能落实</w:t>
      </w:r>
      <w:bookmarkEnd w:id="57"/>
      <w:bookmarkEnd w:id="58"/>
    </w:p>
    <w:p>
      <w:pPr>
        <w:spacing w:line="360" w:lineRule="auto"/>
        <w:ind w:firstLine="420" w:firstLineChars="200"/>
        <w:rPr>
          <w:rFonts w:ascii="宋体" w:hAnsi="宋体"/>
          <w:b/>
          <w:color w:val="auto"/>
          <w:szCs w:val="21"/>
          <w:highlight w:val="none"/>
        </w:rPr>
      </w:pPr>
      <w:r>
        <w:rPr>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26"/>
        <w:ind w:left="315" w:leftChars="150" w:firstLine="105" w:firstLineChars="50"/>
        <w:rPr>
          <w:rFonts w:ascii="宋体" w:hAnsi="宋体"/>
          <w:color w:val="auto"/>
          <w:kern w:val="2"/>
          <w:sz w:val="21"/>
          <w:szCs w:val="21"/>
          <w:highlight w:val="none"/>
        </w:rPr>
      </w:pPr>
      <w:r>
        <w:rPr>
          <w:rFonts w:ascii="宋体" w:hAnsi="宋体"/>
          <w:color w:val="auto"/>
          <w:kern w:val="2"/>
          <w:sz w:val="21"/>
          <w:szCs w:val="21"/>
          <w:highlight w:val="none"/>
        </w:rPr>
        <w:t>1、小微型企业价格扣除</w:t>
      </w:r>
    </w:p>
    <w:p>
      <w:pPr>
        <w:pStyle w:val="26"/>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（1）本项目对小型和微型企业产品给予</w:t>
      </w:r>
      <w:r>
        <w:rPr>
          <w:rFonts w:hint="eastAsia" w:ascii="宋体" w:hAnsi="宋体"/>
          <w:color w:val="auto"/>
          <w:kern w:val="2"/>
          <w:sz w:val="21"/>
          <w:szCs w:val="21"/>
          <w:highlight w:val="none"/>
        </w:rPr>
        <w:t>20</w:t>
      </w:r>
      <w:r>
        <w:rPr>
          <w:rFonts w:ascii="宋体" w:hAnsi="宋体"/>
          <w:color w:val="auto"/>
          <w:kern w:val="2"/>
          <w:sz w:val="21"/>
          <w:szCs w:val="21"/>
          <w:highlight w:val="none"/>
        </w:rPr>
        <w:t>%的扣除价格，用扣除后的价格参与评审。</w:t>
      </w:r>
    </w:p>
    <w:p>
      <w:pPr>
        <w:pStyle w:val="26"/>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（2）供应商需按照采购文件的要求提供相应的《企业声明函》。</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2、残疾人福利单位价格扣除</w:t>
      </w:r>
    </w:p>
    <w:p>
      <w:pPr>
        <w:pStyle w:val="26"/>
        <w:ind w:left="315" w:leftChars="150" w:firstLine="105" w:firstLineChars="50"/>
        <w:rPr>
          <w:rFonts w:ascii="宋体" w:hAnsi="宋体"/>
          <w:color w:val="auto"/>
          <w:kern w:val="2"/>
          <w:sz w:val="21"/>
          <w:szCs w:val="21"/>
          <w:highlight w:val="none"/>
        </w:rPr>
      </w:pPr>
      <w:r>
        <w:rPr>
          <w:rFonts w:ascii="宋体" w:hAnsi="宋体"/>
          <w:color w:val="auto"/>
          <w:kern w:val="2"/>
          <w:sz w:val="21"/>
          <w:szCs w:val="21"/>
          <w:highlight w:val="none"/>
        </w:rPr>
        <w:t>（1）本项目对残疾人福利性单位视同小型、微型企业，给予</w:t>
      </w:r>
      <w:r>
        <w:rPr>
          <w:rFonts w:hint="eastAsia" w:ascii="宋体" w:hAnsi="宋体"/>
          <w:color w:val="auto"/>
          <w:kern w:val="2"/>
          <w:sz w:val="21"/>
          <w:szCs w:val="21"/>
          <w:highlight w:val="none"/>
        </w:rPr>
        <w:t>20</w:t>
      </w:r>
      <w:r>
        <w:rPr>
          <w:rFonts w:ascii="宋体" w:hAnsi="宋体"/>
          <w:color w:val="auto"/>
          <w:kern w:val="2"/>
          <w:sz w:val="21"/>
          <w:szCs w:val="21"/>
          <w:highlight w:val="none"/>
        </w:rPr>
        <w:t>%的价格扣除，用扣除</w:t>
      </w:r>
    </w:p>
    <w:p>
      <w:pPr>
        <w:pStyle w:val="26"/>
        <w:ind w:firstLine="0"/>
        <w:rPr>
          <w:rFonts w:ascii="宋体" w:hAnsi="宋体"/>
          <w:color w:val="auto"/>
          <w:kern w:val="2"/>
          <w:sz w:val="21"/>
          <w:szCs w:val="21"/>
          <w:highlight w:val="none"/>
        </w:rPr>
      </w:pPr>
      <w:r>
        <w:rPr>
          <w:rFonts w:ascii="宋体" w:hAnsi="宋体"/>
          <w:color w:val="auto"/>
          <w:kern w:val="2"/>
          <w:sz w:val="21"/>
          <w:szCs w:val="21"/>
          <w:highlight w:val="none"/>
        </w:rPr>
        <w:t>后的价格参与评审。</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（2）残疾人福利单位需按照采购文件的要求提供《残疾人福利性单位声明函》。</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（3）残疾人福利单位标准请参照《关于促进残疾人就业政府采购政策的通知》（财库</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〔2017〕141号）。</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3、监狱和戒毒企业价格扣除</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（1）本项目对监狱和戒毒企业（简称监狱企业）视同小型、微型企业，给予</w:t>
      </w:r>
      <w:r>
        <w:rPr>
          <w:rFonts w:hint="eastAsia" w:ascii="宋体" w:hAnsi="宋体"/>
          <w:color w:val="auto"/>
          <w:kern w:val="2"/>
          <w:sz w:val="21"/>
          <w:szCs w:val="21"/>
          <w:highlight w:val="none"/>
        </w:rPr>
        <w:t>20</w:t>
      </w:r>
      <w:r>
        <w:rPr>
          <w:rFonts w:ascii="宋体" w:hAnsi="宋体"/>
          <w:color w:val="auto"/>
          <w:kern w:val="2"/>
          <w:sz w:val="21"/>
          <w:szCs w:val="21"/>
          <w:highlight w:val="none"/>
        </w:rPr>
        <w:t>%的价</w:t>
      </w:r>
    </w:p>
    <w:p>
      <w:pPr>
        <w:pStyle w:val="26"/>
        <w:ind w:firstLine="0"/>
        <w:rPr>
          <w:rFonts w:ascii="宋体" w:hAnsi="宋体"/>
          <w:color w:val="auto"/>
          <w:kern w:val="2"/>
          <w:sz w:val="21"/>
          <w:szCs w:val="21"/>
          <w:highlight w:val="none"/>
        </w:rPr>
      </w:pPr>
      <w:r>
        <w:rPr>
          <w:rFonts w:ascii="宋体" w:hAnsi="宋体"/>
          <w:color w:val="auto"/>
          <w:kern w:val="2"/>
          <w:sz w:val="21"/>
          <w:szCs w:val="21"/>
          <w:highlight w:val="none"/>
        </w:rPr>
        <w:t>格扣除，用扣除后的价格参与评审。</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（2）监狱企业参加政府采购活动时，需提供由省级以上监狱管理局、戒毒管理局(含新</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疆生产建设兵团)出具的属于监狱企业的证明文件。供应商如不提供上述证明文件，价格将</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不做相应扣除。</w:t>
      </w:r>
    </w:p>
    <w:p>
      <w:pPr>
        <w:pStyle w:val="26"/>
        <w:ind w:left="420" w:leftChars="200" w:firstLine="210" w:firstLineChars="100"/>
        <w:rPr>
          <w:rFonts w:ascii="宋体" w:hAnsi="宋体"/>
          <w:color w:val="auto"/>
          <w:kern w:val="2"/>
          <w:sz w:val="21"/>
          <w:szCs w:val="21"/>
          <w:highlight w:val="none"/>
        </w:rPr>
      </w:pPr>
      <w:r>
        <w:rPr>
          <w:rFonts w:ascii="宋体" w:hAnsi="宋体"/>
          <w:color w:val="auto"/>
          <w:kern w:val="2"/>
          <w:sz w:val="21"/>
          <w:szCs w:val="21"/>
          <w:highlight w:val="none"/>
        </w:rPr>
        <w:t>（3）监狱企业标准请参照《关于政府采购支持监狱企业发展有关问题的通知》（财库[2014]68号）。</w:t>
      </w:r>
    </w:p>
    <w:p>
      <w:pPr>
        <w:pStyle w:val="26"/>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4、残疾人福利单位、监狱企业属于小型、微型企业的，不重复享受政策。</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5、大中型企业和其他自然人、法人或者其他组织并与小型、微型企业（残疾人福利单</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位、监狱企业）组成联合体共同参加政府采购活动。联合协议中约定，小型、微型企业（残</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疾人福利单位、监狱企业）的协议合同金额占到联合体协议合同总金额30%以上的，给予联</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合体</w:t>
      </w:r>
      <w:r>
        <w:rPr>
          <w:rFonts w:hint="eastAsia" w:ascii="宋体" w:hAnsi="宋体"/>
          <w:color w:val="auto"/>
          <w:kern w:val="2"/>
          <w:sz w:val="21"/>
          <w:szCs w:val="21"/>
          <w:highlight w:val="none"/>
        </w:rPr>
        <w:t>6</w:t>
      </w:r>
      <w:r>
        <w:rPr>
          <w:rFonts w:ascii="宋体" w:hAnsi="宋体"/>
          <w:color w:val="auto"/>
          <w:kern w:val="2"/>
          <w:sz w:val="21"/>
          <w:szCs w:val="21"/>
          <w:highlight w:val="none"/>
        </w:rPr>
        <w:t>%的价格扣除，用扣除后的价格参与评审。</w:t>
      </w:r>
    </w:p>
    <w:p>
      <w:pPr>
        <w:pStyle w:val="26"/>
        <w:ind w:left="420" w:leftChars="200" w:firstLine="0"/>
        <w:rPr>
          <w:rFonts w:ascii="宋体" w:hAnsi="宋体"/>
          <w:color w:val="auto"/>
          <w:kern w:val="2"/>
          <w:sz w:val="21"/>
          <w:szCs w:val="21"/>
          <w:highlight w:val="none"/>
        </w:rPr>
      </w:pPr>
      <w:r>
        <w:rPr>
          <w:rFonts w:ascii="宋体" w:hAnsi="宋体"/>
          <w:color w:val="auto"/>
          <w:kern w:val="2"/>
          <w:sz w:val="21"/>
          <w:szCs w:val="21"/>
          <w:highlight w:val="none"/>
        </w:rPr>
        <w:t>6、联合体各方均为小型、微型企业（残疾人福利单位、监狱企业）的，联合体享受</w:t>
      </w:r>
      <w:r>
        <w:rPr>
          <w:rFonts w:hint="eastAsia" w:ascii="宋体" w:hAnsi="宋体"/>
          <w:color w:val="auto"/>
          <w:kern w:val="2"/>
          <w:sz w:val="21"/>
          <w:szCs w:val="21"/>
          <w:highlight w:val="none"/>
        </w:rPr>
        <w:t>20</w:t>
      </w:r>
      <w:r>
        <w:rPr>
          <w:rFonts w:ascii="宋体" w:hAnsi="宋体"/>
          <w:color w:val="auto"/>
          <w:kern w:val="2"/>
          <w:sz w:val="21"/>
          <w:szCs w:val="21"/>
          <w:highlight w:val="none"/>
        </w:rPr>
        <w:t>%</w:t>
      </w:r>
    </w:p>
    <w:p>
      <w:pPr>
        <w:pStyle w:val="26"/>
        <w:ind w:left="420" w:hanging="420" w:hangingChars="200"/>
        <w:rPr>
          <w:rFonts w:ascii="宋体" w:hAnsi="宋体"/>
          <w:color w:val="auto"/>
          <w:kern w:val="2"/>
          <w:sz w:val="21"/>
          <w:szCs w:val="21"/>
          <w:highlight w:val="none"/>
        </w:rPr>
      </w:pPr>
      <w:r>
        <w:rPr>
          <w:rFonts w:ascii="宋体" w:hAnsi="宋体"/>
          <w:color w:val="auto"/>
          <w:kern w:val="2"/>
          <w:sz w:val="21"/>
          <w:szCs w:val="21"/>
          <w:highlight w:val="none"/>
        </w:rPr>
        <w:t>价格扣除，用扣除后的价格参与评审。</w:t>
      </w:r>
    </w:p>
    <w:p>
      <w:pPr>
        <w:pStyle w:val="26"/>
        <w:numPr>
          <w:ilvl w:val="0"/>
          <w:numId w:val="3"/>
        </w:numPr>
        <w:ind w:firstLine="0"/>
        <w:rPr>
          <w:rFonts w:ascii="宋体" w:hAnsi="宋体"/>
          <w:color w:val="auto"/>
          <w:kern w:val="2"/>
          <w:sz w:val="21"/>
          <w:szCs w:val="21"/>
          <w:highlight w:val="none"/>
        </w:rPr>
      </w:pPr>
      <w:r>
        <w:rPr>
          <w:rFonts w:hint="eastAsia" w:ascii="宋体" w:hAnsi="宋体"/>
          <w:color w:val="auto"/>
          <w:kern w:val="2"/>
          <w:sz w:val="21"/>
          <w:szCs w:val="21"/>
          <w:highlight w:val="none"/>
        </w:rPr>
        <w:t>大中型企业向小型、微型企业分包的，分包意向协议约定小型、微型企业合同份额占到合同总金额30%以上的，给予6%的价格扣除，用扣除后的价格参与评审。</w:t>
      </w:r>
    </w:p>
    <w:p>
      <w:pPr>
        <w:pStyle w:val="26"/>
        <w:ind w:firstLine="0"/>
        <w:rPr>
          <w:rFonts w:ascii="宋体" w:hAnsi="宋体"/>
          <w:b/>
          <w:color w:val="auto"/>
          <w:kern w:val="2"/>
          <w:sz w:val="21"/>
          <w:szCs w:val="21"/>
          <w:highlight w:val="none"/>
        </w:rPr>
      </w:pPr>
      <w:r>
        <w:rPr>
          <w:rFonts w:hint="eastAsia" w:ascii="宋体" w:hAnsi="宋体"/>
          <w:b/>
          <w:color w:val="auto"/>
          <w:kern w:val="2"/>
          <w:sz w:val="21"/>
          <w:szCs w:val="21"/>
          <w:highlight w:val="none"/>
        </w:rPr>
        <w:t>三、评标标准</w:t>
      </w:r>
    </w:p>
    <w:p>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本项目采用综合评分法确定中标候选人。评标委员会将按下列评分办法和标准进行评分，总分值为100分。</w:t>
      </w:r>
    </w:p>
    <w:p>
      <w:pPr>
        <w:rPr>
          <w:color w:val="auto"/>
          <w:highlight w:val="none"/>
        </w:rPr>
      </w:pP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96"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799"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96" w:type="dxa"/>
            <w:vAlign w:val="center"/>
          </w:tcPr>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价格部分</w:t>
            </w:r>
          </w:p>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（20分）</w:t>
            </w:r>
          </w:p>
        </w:tc>
        <w:tc>
          <w:tcPr>
            <w:tcW w:w="7799" w:type="dxa"/>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价格分采用低价优先法计算，即满足招标文件要求且投标价格最低的投标报价为评标基准价，其价格分为满分20分。其他供应商的价格分按照下列公式计算：投标报价得分=（评标基准价/投标报价）×20。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96" w:type="dxa"/>
            <w:vAlign w:val="center"/>
          </w:tcPr>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技术响应</w:t>
            </w:r>
          </w:p>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（40分）</w:t>
            </w:r>
          </w:p>
        </w:tc>
        <w:tc>
          <w:tcPr>
            <w:tcW w:w="7799" w:type="dxa"/>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技术参数全部满足采购要求的得满分40分；招标文件中标注“▲”的为重要参数，每负偏离一项扣5分，其他非“▲”参数负偏离的，则每项扣2分，扣完为止。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96" w:type="dxa"/>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服务</w:t>
            </w:r>
          </w:p>
          <w:p>
            <w:pPr>
              <w:pStyle w:val="13"/>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(30分)</w:t>
            </w:r>
          </w:p>
        </w:tc>
        <w:tc>
          <w:tcPr>
            <w:tcW w:w="7799" w:type="dxa"/>
            <w:vAlign w:val="center"/>
          </w:tcPr>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1、针对本项目的日常维护方案：6分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维护方案应包括但不限于维护服务流程、服务标准、服务管理、服务措施、重大故障处理等方面。</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完整全面、科学合理、针对性高、可行性高，满足或优于采购人实际需求的得6分；方案较完整，基本合理，有一定针对性及可行性，基本满足采购人实际需求的得3分；方案较差，但科学合理性、针对性、可行性有所欠缺，或与采购人实际需求存在差距的得1分；其余情况或未提供的不得分。</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2、培训方案：6分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方案应包含但不限于培训时间、计划、内容、目标、培训人员等方面。</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完整全面、科学合理、针对性高、可行性高，满足或优于采购人实际需求的得6分；方案较完整，基本合理，有一定针对性及可行性，基本满足采购人实际需求的得3分；方案较差，但科学合理性、针对性、可行性有所欠缺，或与采购人实际需求存在差距的得1分；其余情况或未提供的不得分。</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3、针对本项目的应急抢修、应急响应及重点活动保障的应急维护方案：6分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方案应包含但不限于应急响应、抢修、重点活动保障、人员安排等方面。</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完整全面、科学合理、针对性高、可行性高，满足或优于采购人实际需求的得6分；方案较完整，基本合理，有一定针对性及可行性，基本满足采购人实际需求的得3分；方案较差，但科学合理性、针对性、可行性有所欠缺，或与采购人实际需求存在差距的得1分；其余情况或未提供的不得分。</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4、安全管理方案：6分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方案应包含但不限于内控管理制度、安全保障计划、人员配备等方面。</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方案完整全面、科学合理、针对性高、可行性高，满足或优于采购人实际需求的得6分；方案较完整，基本合理，有一定针对性及可行性，基本满足采购人实际需求的得3分；方案较差，但科学合理性、针对性、可行性有所欠缺，或与采购人实际需求存在差距的得1分；其余情况或未提供的不得分。</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5、增值服务方案：6分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供应商应根据自身能力经验，结合医院未来发展，提供相关增值服务方案。</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相关增值服务科学合理、针对性高、可行性高且具备实际意义得6分；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相关增值服务具备一定科学合理性，有一定针对性，但可行性或实际意义上略有欠缺得3分；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相关增值服务科学合理性、针对性及可行性较差或实际意义不大得1分；</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其余情况或未提供的不得分。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96" w:type="dxa"/>
            <w:vAlign w:val="center"/>
          </w:tcPr>
          <w:p>
            <w:pPr>
              <w:pStyle w:val="13"/>
              <w:adjustRightInd w:val="0"/>
              <w:snapToGrid w:val="0"/>
              <w:spacing w:line="36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投标人业绩</w:t>
            </w:r>
          </w:p>
          <w:p>
            <w:pPr>
              <w:pStyle w:val="13"/>
              <w:adjustRightInd w:val="0"/>
              <w:snapToGrid w:val="0"/>
              <w:spacing w:line="36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（10分）</w:t>
            </w:r>
          </w:p>
        </w:tc>
        <w:tc>
          <w:tcPr>
            <w:tcW w:w="7799" w:type="dxa"/>
            <w:vAlign w:val="center"/>
          </w:tcPr>
          <w:p>
            <w:pPr>
              <w:pStyle w:val="13"/>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自2020年1月1日以来，投标人有本项目类似设备维修保养成功案例的，每提供一份得2分，最高得10分，提供合同复印件，原件备查，时间以合同签订日期为准。</w:t>
            </w:r>
          </w:p>
        </w:tc>
      </w:tr>
    </w:tbl>
    <w:p>
      <w:pPr>
        <w:rPr>
          <w:rFonts w:ascii="黑体" w:eastAsia="黑体"/>
          <w:bCs/>
          <w:color w:val="auto"/>
          <w:sz w:val="44"/>
          <w:highlight w:val="none"/>
        </w:rPr>
      </w:pPr>
    </w:p>
    <w:p>
      <w:pPr>
        <w:widowControl/>
        <w:jc w:val="left"/>
        <w:rPr>
          <w:rFonts w:ascii="宋体" w:hAnsi="宋体"/>
          <w:b/>
          <w:bCs/>
          <w:color w:val="auto"/>
          <w:kern w:val="44"/>
          <w:sz w:val="44"/>
          <w:szCs w:val="44"/>
          <w:highlight w:val="none"/>
        </w:rPr>
      </w:pPr>
      <w:r>
        <w:rPr>
          <w:rFonts w:ascii="宋体" w:hAnsi="宋体"/>
          <w:color w:val="auto"/>
          <w:highlight w:val="none"/>
        </w:rPr>
        <w:br w:type="page"/>
      </w:r>
    </w:p>
    <w:p>
      <w:pPr>
        <w:pStyle w:val="7"/>
        <w:jc w:val="center"/>
        <w:rPr>
          <w:rFonts w:ascii="宋体" w:hAnsi="宋体"/>
          <w:color w:val="auto"/>
          <w:highlight w:val="none"/>
        </w:rPr>
      </w:pPr>
      <w:r>
        <w:rPr>
          <w:rFonts w:hint="eastAsia" w:ascii="宋体" w:hAnsi="宋体"/>
          <w:color w:val="auto"/>
          <w:highlight w:val="none"/>
        </w:rPr>
        <w:t xml:space="preserve">第六章 投标文件格式 </w:t>
      </w:r>
    </w:p>
    <w:p>
      <w:pPr>
        <w:rPr>
          <w:rFonts w:ascii="黑体" w:eastAsia="黑体"/>
          <w:bCs/>
          <w:color w:val="auto"/>
          <w:sz w:val="44"/>
          <w:highlight w:val="none"/>
        </w:rPr>
      </w:pPr>
    </w:p>
    <w:p>
      <w:pPr>
        <w:jc w:val="center"/>
        <w:rPr>
          <w:rFonts w:ascii="宋体" w:hAnsi="宋体"/>
          <w:b/>
          <w:color w:val="auto"/>
          <w:sz w:val="72"/>
          <w:highlight w:val="none"/>
        </w:rPr>
      </w:pPr>
      <w:r>
        <w:rPr>
          <w:rFonts w:hint="eastAsia" w:ascii="宋体" w:hAnsi="宋体"/>
          <w:b/>
          <w:color w:val="auto"/>
          <w:sz w:val="72"/>
          <w:highlight w:val="none"/>
        </w:rPr>
        <w:t>投  标  文  件</w:t>
      </w:r>
    </w:p>
    <w:p>
      <w:pPr>
        <w:jc w:val="center"/>
        <w:rPr>
          <w:rFonts w:ascii="宋体" w:hAnsi="宋体"/>
          <w:b/>
          <w:color w:val="auto"/>
          <w:sz w:val="72"/>
          <w:highlight w:val="none"/>
        </w:rPr>
      </w:pPr>
    </w:p>
    <w:p>
      <w:pPr>
        <w:jc w:val="center"/>
        <w:rPr>
          <w:rFonts w:ascii="宋体" w:hAnsi="宋体"/>
          <w:b/>
          <w:color w:val="auto"/>
          <w:sz w:val="72"/>
          <w:highlight w:val="none"/>
        </w:rPr>
      </w:pPr>
    </w:p>
    <w:p>
      <w:pPr>
        <w:jc w:val="center"/>
        <w:rPr>
          <w:rFonts w:ascii="宋体" w:hAnsi="宋体"/>
          <w:b/>
          <w:color w:val="auto"/>
          <w:sz w:val="36"/>
          <w:highlight w:val="none"/>
        </w:rPr>
      </w:pPr>
    </w:p>
    <w:p>
      <w:pPr>
        <w:jc w:val="center"/>
        <w:rPr>
          <w:rFonts w:ascii="宋体" w:hAnsi="宋体"/>
          <w:b/>
          <w:color w:val="auto"/>
          <w:sz w:val="36"/>
          <w:highlight w:val="none"/>
        </w:rPr>
      </w:pPr>
    </w:p>
    <w:p>
      <w:pPr>
        <w:jc w:val="center"/>
        <w:rPr>
          <w:rFonts w:ascii="宋体" w:hAnsi="宋体"/>
          <w:b/>
          <w:color w:val="auto"/>
          <w:sz w:val="36"/>
          <w:highlight w:val="none"/>
        </w:rPr>
      </w:pPr>
    </w:p>
    <w:p>
      <w:pPr>
        <w:jc w:val="center"/>
        <w:rPr>
          <w:rFonts w:ascii="宋体" w:hAnsi="宋体"/>
          <w:b/>
          <w:color w:val="auto"/>
          <w:sz w:val="36"/>
          <w:highlight w:val="none"/>
        </w:rPr>
      </w:pPr>
    </w:p>
    <w:p>
      <w:pPr>
        <w:rPr>
          <w:rFonts w:ascii="宋体" w:hAnsi="宋体"/>
          <w:b/>
          <w:color w:val="auto"/>
          <w:sz w:val="36"/>
          <w:highlight w:val="none"/>
        </w:rPr>
      </w:pPr>
    </w:p>
    <w:p>
      <w:pPr>
        <w:jc w:val="center"/>
        <w:rPr>
          <w:rFonts w:ascii="宋体" w:hAnsi="宋体"/>
          <w:b/>
          <w:color w:val="auto"/>
          <w:sz w:val="36"/>
          <w:highlight w:val="none"/>
        </w:rPr>
      </w:pPr>
    </w:p>
    <w:p>
      <w:pPr>
        <w:ind w:firstLine="1084" w:firstLineChars="300"/>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ind w:firstLine="1084" w:firstLineChars="300"/>
        <w:rPr>
          <w:rFonts w:ascii="宋体" w:hAnsi="宋体"/>
          <w:b/>
          <w:color w:val="auto"/>
          <w:sz w:val="36"/>
          <w:highlight w:val="none"/>
          <w:u w:val="single"/>
        </w:rPr>
      </w:pPr>
      <w:r>
        <w:rPr>
          <w:rFonts w:hint="eastAsia" w:ascii="宋体" w:hAnsi="宋体"/>
          <w:b/>
          <w:color w:val="auto"/>
          <w:sz w:val="36"/>
          <w:highlight w:val="none"/>
        </w:rPr>
        <w:t>招 标 编 号：</w:t>
      </w:r>
      <w:r>
        <w:rPr>
          <w:rFonts w:hint="eastAsia" w:ascii="宋体" w:hAnsi="宋体"/>
          <w:b/>
          <w:color w:val="auto"/>
          <w:sz w:val="36"/>
          <w:highlight w:val="none"/>
          <w:u w:val="single"/>
        </w:rPr>
        <w:t xml:space="preserve">               </w:t>
      </w:r>
    </w:p>
    <w:p>
      <w:pPr>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pPr>
        <w:rPr>
          <w:rFonts w:ascii="宋体" w:hAnsi="宋体"/>
          <w:b/>
          <w:color w:val="auto"/>
          <w:sz w:val="36"/>
          <w:highlight w:val="none"/>
          <w:u w:val="singl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pPr>
        <w:ind w:firstLine="1084" w:firstLineChars="300"/>
        <w:rPr>
          <w:rFonts w:ascii="宋体" w:hAnsi="宋体"/>
          <w:b/>
          <w:color w:val="auto"/>
          <w:sz w:val="36"/>
          <w:highlight w:val="none"/>
        </w:rPr>
      </w:pPr>
      <w:r>
        <w:rPr>
          <w:rFonts w:hint="eastAsia" w:ascii="宋体" w:hAnsi="宋体"/>
          <w:b/>
          <w:color w:val="auto"/>
          <w:sz w:val="36"/>
          <w:highlight w:val="none"/>
        </w:rPr>
        <w:t>投  标  人：</w:t>
      </w:r>
      <w:r>
        <w:rPr>
          <w:rFonts w:hint="eastAsia" w:ascii="宋体" w:hAnsi="宋体"/>
          <w:b/>
          <w:color w:val="auto"/>
          <w:sz w:val="36"/>
          <w:highlight w:val="none"/>
          <w:u w:val="single"/>
        </w:rPr>
        <w:t xml:space="preserve">         </w:t>
      </w:r>
      <w:r>
        <w:rPr>
          <w:rFonts w:hint="eastAsia" w:ascii="宋体" w:hAnsi="宋体"/>
          <w:b/>
          <w:color w:val="auto"/>
          <w:sz w:val="36"/>
          <w:highlight w:val="none"/>
        </w:rPr>
        <w:t>（电子签章）</w:t>
      </w:r>
    </w:p>
    <w:p>
      <w:pPr>
        <w:spacing w:line="440" w:lineRule="exact"/>
        <w:jc w:val="center"/>
        <w:rPr>
          <w:rFonts w:ascii="宋体" w:hAnsi="宋体"/>
          <w:b/>
          <w:bCs/>
          <w:color w:val="auto"/>
          <w:sz w:val="32"/>
          <w:szCs w:val="32"/>
          <w:highlight w:val="none"/>
        </w:rPr>
      </w:pPr>
    </w:p>
    <w:p>
      <w:pPr>
        <w:spacing w:line="440" w:lineRule="exact"/>
        <w:jc w:val="center"/>
        <w:rPr>
          <w:rFonts w:ascii="宋体" w:hAnsi="宋体"/>
          <w:b/>
          <w:bCs/>
          <w:color w:val="auto"/>
          <w:sz w:val="32"/>
          <w:szCs w:val="32"/>
          <w:highlight w:val="none"/>
        </w:rPr>
      </w:pPr>
    </w:p>
    <w:p>
      <w:pPr>
        <w:spacing w:line="440" w:lineRule="exact"/>
        <w:rPr>
          <w:rFonts w:ascii="宋体" w:hAnsi="宋体"/>
          <w:b/>
          <w:bCs/>
          <w:color w:val="auto"/>
          <w:sz w:val="32"/>
          <w:szCs w:val="32"/>
          <w:highlight w:val="none"/>
        </w:rPr>
      </w:pPr>
    </w:p>
    <w:p>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投标主要文件目录</w:t>
      </w:r>
    </w:p>
    <w:p>
      <w:pPr>
        <w:spacing w:line="440" w:lineRule="exact"/>
        <w:jc w:val="center"/>
        <w:rPr>
          <w:rFonts w:ascii="宋体" w:hAnsi="宋体"/>
          <w:b/>
          <w:bCs/>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一、资格审查响应对照表</w:t>
      </w:r>
    </w:p>
    <w:p>
      <w:pPr>
        <w:spacing w:line="360" w:lineRule="auto"/>
        <w:ind w:left="480"/>
        <w:rPr>
          <w:rFonts w:ascii="宋体" w:hAnsi="宋体"/>
          <w:color w:val="auto"/>
          <w:sz w:val="24"/>
          <w:highlight w:val="none"/>
        </w:rPr>
      </w:pPr>
      <w:r>
        <w:rPr>
          <w:rFonts w:hint="eastAsia" w:ascii="宋体" w:hAnsi="宋体"/>
          <w:color w:val="auto"/>
          <w:sz w:val="24"/>
          <w:highlight w:val="none"/>
        </w:rPr>
        <w:t>二、符合性审查响应对照表</w:t>
      </w:r>
    </w:p>
    <w:p>
      <w:pPr>
        <w:spacing w:line="360" w:lineRule="auto"/>
        <w:ind w:left="480"/>
        <w:rPr>
          <w:rFonts w:ascii="宋体" w:hAnsi="宋体"/>
          <w:color w:val="auto"/>
          <w:sz w:val="24"/>
          <w:highlight w:val="none"/>
        </w:rPr>
      </w:pPr>
      <w:r>
        <w:rPr>
          <w:rFonts w:hint="eastAsia" w:ascii="宋体" w:hAnsi="宋体"/>
          <w:color w:val="auto"/>
          <w:sz w:val="24"/>
          <w:highlight w:val="none"/>
        </w:rPr>
        <w:t>三、非实质性响应对照表</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四</w:t>
      </w:r>
      <w:r>
        <w:rPr>
          <w:rFonts w:hint="eastAsia" w:ascii="宋体" w:hAnsi="宋体"/>
          <w:b/>
          <w:bCs/>
          <w:color w:val="auto"/>
          <w:sz w:val="24"/>
          <w:highlight w:val="none"/>
        </w:rPr>
        <w:t>、</w:t>
      </w:r>
      <w:r>
        <w:rPr>
          <w:rFonts w:hint="eastAsia" w:ascii="宋体" w:hAnsi="宋体"/>
          <w:i/>
          <w:color w:val="auto"/>
          <w:sz w:val="24"/>
          <w:highlight w:val="none"/>
          <w:u w:val="single"/>
        </w:rPr>
        <w:t>开标一览表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五、分项报价表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w:t>
      </w:r>
      <w:r>
        <w:rPr>
          <w:rFonts w:hint="eastAsia" w:ascii="宋体" w:hAnsi="宋体" w:cs="Courier New"/>
          <w:color w:val="auto"/>
          <w:sz w:val="24"/>
          <w:szCs w:val="24"/>
          <w:highlight w:val="none"/>
        </w:rPr>
        <w:t>、</w:t>
      </w:r>
      <w:r>
        <w:rPr>
          <w:rFonts w:hint="eastAsia" w:ascii="宋体" w:hAnsi="宋体"/>
          <w:color w:val="auto"/>
          <w:sz w:val="24"/>
          <w:szCs w:val="24"/>
          <w:highlight w:val="none"/>
        </w:rPr>
        <w:t>技术参数响应及偏离表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七、商务条款响应及偏离表</w:t>
      </w:r>
    </w:p>
    <w:p>
      <w:pPr>
        <w:spacing w:line="360" w:lineRule="auto"/>
        <w:ind w:firstLine="480" w:firstLineChars="200"/>
        <w:rPr>
          <w:color w:val="auto"/>
          <w:sz w:val="36"/>
          <w:szCs w:val="36"/>
          <w:highlight w:val="none"/>
        </w:rPr>
      </w:pPr>
      <w:r>
        <w:rPr>
          <w:rFonts w:hint="eastAsia" w:ascii="宋体" w:hAnsi="宋体"/>
          <w:color w:val="auto"/>
          <w:sz w:val="24"/>
          <w:highlight w:val="none"/>
        </w:rPr>
        <w:t>八、其他 （投标人认为有必要提供的声明和文件，如有自拟并自行添加）</w:t>
      </w:r>
    </w:p>
    <w:p>
      <w:pPr>
        <w:adjustRightInd w:val="0"/>
        <w:contextualSpacing/>
        <w:jc w:val="center"/>
        <w:rPr>
          <w:rFonts w:ascii="宋体" w:hAnsi="宋体"/>
          <w:b/>
          <w:color w:val="auto"/>
          <w:sz w:val="72"/>
          <w:highlight w:val="none"/>
        </w:rPr>
      </w:pPr>
    </w:p>
    <w:p>
      <w:pPr>
        <w:adjustRightInd w:val="0"/>
        <w:spacing w:line="600" w:lineRule="exact"/>
        <w:contextualSpacing/>
        <w:jc w:val="center"/>
        <w:rPr>
          <w:rFonts w:ascii="宋体" w:hAnsi="宋体"/>
          <w:b/>
          <w:color w:val="auto"/>
          <w:sz w:val="72"/>
          <w:highlight w:val="none"/>
        </w:rPr>
      </w:pPr>
    </w:p>
    <w:p>
      <w:pPr>
        <w:adjustRightInd w:val="0"/>
        <w:spacing w:line="600" w:lineRule="exact"/>
        <w:contextualSpacing/>
        <w:jc w:val="center"/>
        <w:rPr>
          <w:rFonts w:ascii="宋体" w:hAnsi="宋体"/>
          <w:b/>
          <w:color w:val="auto"/>
          <w:sz w:val="72"/>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rPr>
          <w:rFonts w:ascii="宋体" w:hAnsi="宋体"/>
          <w:b/>
          <w:color w:val="auto"/>
          <w:sz w:val="32"/>
          <w:szCs w:val="32"/>
          <w:highlight w:val="none"/>
        </w:rPr>
      </w:pPr>
    </w:p>
    <w:p>
      <w:pPr>
        <w:pStyle w:val="8"/>
        <w:rPr>
          <w:rFonts w:asciiTheme="minorEastAsia" w:hAnsiTheme="minorEastAsia" w:eastAsiaTheme="minorEastAsia"/>
          <w:b w:val="0"/>
          <w:color w:val="auto"/>
          <w:sz w:val="32"/>
          <w:szCs w:val="32"/>
          <w:highlight w:val="none"/>
        </w:rPr>
      </w:pPr>
      <w:r>
        <w:rPr>
          <w:rFonts w:hint="eastAsia" w:ascii="宋体" w:hAnsi="宋体"/>
          <w:color w:val="auto"/>
          <w:sz w:val="32"/>
          <w:szCs w:val="32"/>
          <w:highlight w:val="none"/>
        </w:rPr>
        <w:br w:type="page"/>
      </w:r>
      <w:r>
        <w:rPr>
          <w:rFonts w:hint="eastAsia" w:asciiTheme="minorEastAsia" w:hAnsiTheme="minorEastAsia" w:eastAsiaTheme="minorEastAsia"/>
          <w:color w:val="auto"/>
          <w:sz w:val="32"/>
          <w:highlight w:val="none"/>
        </w:rPr>
        <w:t>一、资格审查响应对照表</w:t>
      </w:r>
    </w:p>
    <w:tbl>
      <w:tblPr>
        <w:tblStyle w:val="20"/>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vAlign w:val="center"/>
          </w:tcPr>
          <w:p>
            <w:pPr>
              <w:snapToGrid w:val="0"/>
              <w:spacing w:line="240" w:lineRule="atLeast"/>
              <w:jc w:val="center"/>
              <w:rPr>
                <w:rFonts w:ascii="幼圆" w:eastAsia="幼圆"/>
                <w:b/>
                <w:color w:val="auto"/>
                <w:szCs w:val="21"/>
                <w:highlight w:val="none"/>
              </w:rPr>
            </w:pPr>
            <w:r>
              <w:rPr>
                <w:rFonts w:hint="eastAsia" w:ascii="幼圆" w:eastAsia="幼圆"/>
                <w:b/>
                <w:color w:val="auto"/>
                <w:szCs w:val="21"/>
                <w:highlight w:val="none"/>
              </w:rPr>
              <w:t>序号</w:t>
            </w:r>
          </w:p>
        </w:tc>
        <w:tc>
          <w:tcPr>
            <w:tcW w:w="5447" w:type="dxa"/>
            <w:vAlign w:val="center"/>
          </w:tcPr>
          <w:p>
            <w:pPr>
              <w:snapToGrid w:val="0"/>
              <w:spacing w:line="240" w:lineRule="atLeast"/>
              <w:jc w:val="center"/>
              <w:rPr>
                <w:rFonts w:ascii="幼圆" w:eastAsia="幼圆"/>
                <w:b/>
                <w:color w:val="auto"/>
                <w:szCs w:val="21"/>
                <w:highlight w:val="none"/>
              </w:rPr>
            </w:pPr>
            <w:r>
              <w:rPr>
                <w:rFonts w:hint="eastAsia" w:ascii="幼圆" w:eastAsia="幼圆"/>
                <w:b/>
                <w:color w:val="auto"/>
                <w:szCs w:val="21"/>
                <w:highlight w:val="none"/>
              </w:rPr>
              <w:t>资格审查响应内容</w:t>
            </w:r>
          </w:p>
        </w:tc>
        <w:tc>
          <w:tcPr>
            <w:tcW w:w="2158" w:type="dxa"/>
            <w:vAlign w:val="center"/>
          </w:tcPr>
          <w:p>
            <w:pPr>
              <w:snapToGrid w:val="0"/>
              <w:spacing w:line="240" w:lineRule="atLeast"/>
              <w:jc w:val="center"/>
              <w:rPr>
                <w:rFonts w:ascii="幼圆" w:eastAsia="幼圆"/>
                <w:b/>
                <w:color w:val="auto"/>
                <w:szCs w:val="21"/>
                <w:highlight w:val="none"/>
              </w:rPr>
            </w:pPr>
            <w:r>
              <w:rPr>
                <w:rFonts w:hint="eastAsia" w:ascii="幼圆" w:eastAsia="幼圆"/>
                <w:b/>
                <w:color w:val="auto"/>
                <w:szCs w:val="21"/>
                <w:highlight w:val="none"/>
              </w:rPr>
              <w:t>是否响应</w:t>
            </w:r>
          </w:p>
          <w:p>
            <w:pPr>
              <w:snapToGrid w:val="0"/>
              <w:spacing w:line="240" w:lineRule="atLeast"/>
              <w:jc w:val="center"/>
              <w:rPr>
                <w:rFonts w:ascii="幼圆" w:eastAsia="幼圆"/>
                <w:b/>
                <w:color w:val="auto"/>
                <w:szCs w:val="21"/>
                <w:highlight w:val="none"/>
              </w:rPr>
            </w:pPr>
            <w:r>
              <w:rPr>
                <w:rFonts w:hint="eastAsia" w:ascii="幼圆" w:eastAsia="幼圆"/>
                <w:b/>
                <w:color w:val="auto"/>
                <w:szCs w:val="21"/>
                <w:highlight w:val="none"/>
              </w:rPr>
              <w:t>（填是或者否）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vAlign w:val="center"/>
          </w:tcPr>
          <w:p>
            <w:pPr>
              <w:rPr>
                <w:rFonts w:ascii="宋体" w:hAnsi="宋体"/>
                <w:b/>
                <w:color w:val="auto"/>
                <w:szCs w:val="21"/>
                <w:highlight w:val="none"/>
              </w:rPr>
            </w:pPr>
            <w:r>
              <w:rPr>
                <w:rFonts w:hint="eastAsia" w:ascii="宋体" w:hAnsi="宋体"/>
                <w:b/>
                <w:color w:val="auto"/>
                <w:szCs w:val="21"/>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vAlign w:val="center"/>
          </w:tcPr>
          <w:p>
            <w:pPr>
              <w:jc w:val="center"/>
              <w:rPr>
                <w:rFonts w:ascii="宋体" w:hAnsi="宋体"/>
                <w:b/>
                <w:color w:val="auto"/>
                <w:szCs w:val="21"/>
                <w:highlight w:val="none"/>
              </w:rPr>
            </w:pPr>
            <w:r>
              <w:rPr>
                <w:rFonts w:hint="eastAsia" w:ascii="宋体" w:hAnsi="宋体"/>
                <w:color w:val="auto"/>
                <w:szCs w:val="21"/>
                <w:highlight w:val="none"/>
              </w:rPr>
              <w:t>1</w:t>
            </w:r>
          </w:p>
        </w:tc>
        <w:tc>
          <w:tcPr>
            <w:tcW w:w="5447" w:type="dxa"/>
            <w:vAlign w:val="center"/>
          </w:tcPr>
          <w:p>
            <w:pPr>
              <w:spacing w:line="360" w:lineRule="auto"/>
              <w:rPr>
                <w:rFonts w:ascii="宋体" w:hAnsi="宋体"/>
                <w:iCs/>
                <w:color w:val="auto"/>
                <w:szCs w:val="21"/>
                <w:highlight w:val="none"/>
              </w:rPr>
            </w:pPr>
            <w:r>
              <w:rPr>
                <w:rFonts w:hint="eastAsia" w:ascii="宋体" w:hAnsi="宋体"/>
                <w:color w:val="auto"/>
                <w:szCs w:val="21"/>
                <w:highlight w:val="none"/>
              </w:rPr>
              <w:t>法人或者其他组织的营业执照等证明文件，自然人的身份证明（身份证为正、反面）</w:t>
            </w:r>
          </w:p>
        </w:tc>
        <w:tc>
          <w:tcPr>
            <w:tcW w:w="2158" w:type="dxa"/>
            <w:vAlign w:val="center"/>
          </w:tcPr>
          <w:p>
            <w:pP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447" w:type="dxa"/>
            <w:vAlign w:val="center"/>
          </w:tcPr>
          <w:p>
            <w:pPr>
              <w:spacing w:line="360" w:lineRule="auto"/>
              <w:rPr>
                <w:rFonts w:ascii="宋体" w:hAnsi="宋体"/>
                <w:iCs/>
                <w:color w:val="auto"/>
                <w:szCs w:val="21"/>
                <w:highlight w:val="none"/>
              </w:rPr>
            </w:pPr>
            <w:r>
              <w:rPr>
                <w:rFonts w:hint="eastAsia" w:ascii="宋体" w:hAnsi="宋体"/>
                <w:iCs/>
                <w:color w:val="auto"/>
                <w:szCs w:val="21"/>
                <w:highlight w:val="none"/>
              </w:rPr>
              <w:t>依法缴纳职工社会保障资金的证明材料</w:t>
            </w:r>
            <w:r>
              <w:rPr>
                <w:rFonts w:hint="eastAsia" w:ascii="宋体" w:hAnsi="宋体"/>
                <w:b/>
                <w:bCs/>
                <w:iCs/>
                <w:color w:val="auto"/>
                <w:szCs w:val="21"/>
                <w:highlight w:val="none"/>
              </w:rPr>
              <w:t>(税务、银行或社会保险基金管理部门出具的近三个月内任意一个月缴纳职工社会保障资金的缴款凭证或缴款证明)（投标人依法享受缓缴、免缴的提供证明材料）</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447" w:type="dxa"/>
            <w:vAlign w:val="center"/>
          </w:tcPr>
          <w:p>
            <w:pPr>
              <w:spacing w:line="360" w:lineRule="auto"/>
              <w:rPr>
                <w:rFonts w:ascii="宋体" w:hAnsi="宋体"/>
                <w:iCs/>
                <w:color w:val="auto"/>
                <w:szCs w:val="21"/>
                <w:highlight w:val="none"/>
              </w:rPr>
            </w:pPr>
            <w:r>
              <w:rPr>
                <w:rFonts w:hint="eastAsia" w:ascii="宋体" w:hAnsi="宋体"/>
                <w:iCs/>
                <w:color w:val="auto"/>
                <w:szCs w:val="21"/>
                <w:highlight w:val="none"/>
              </w:rPr>
              <w:t>投标人近三个月内任意一份依法纳税的缴款凭证</w:t>
            </w:r>
            <w:r>
              <w:rPr>
                <w:rFonts w:hint="eastAsia" w:ascii="宋体" w:hAnsi="宋体"/>
                <w:b/>
                <w:bCs/>
                <w:iCs/>
                <w:color w:val="auto"/>
                <w:szCs w:val="21"/>
                <w:highlight w:val="none"/>
              </w:rPr>
              <w:t>（即2023年9月-2023年11月期间)投标人依法享受缓缴、免缴的提供证明材料）</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447" w:type="dxa"/>
            <w:vAlign w:val="center"/>
          </w:tcPr>
          <w:p>
            <w:pPr>
              <w:spacing w:line="360" w:lineRule="auto"/>
              <w:rPr>
                <w:rFonts w:ascii="宋体" w:hAnsi="宋体"/>
                <w:iCs/>
                <w:color w:val="auto"/>
                <w:szCs w:val="21"/>
                <w:highlight w:val="none"/>
              </w:rPr>
            </w:pPr>
            <w:r>
              <w:rPr>
                <w:rFonts w:hint="eastAsia" w:ascii="宋体" w:hAnsi="宋体" w:cs="宋体"/>
                <w:color w:val="auto"/>
                <w:szCs w:val="21"/>
                <w:highlight w:val="none"/>
              </w:rPr>
              <w:t>上一年度的财务状况情况</w:t>
            </w:r>
            <w:r>
              <w:rPr>
                <w:rFonts w:hint="eastAsia" w:ascii="宋体" w:hAnsi="宋体" w:cs="宋体"/>
                <w:b/>
                <w:bCs/>
                <w:color w:val="auto"/>
                <w:szCs w:val="21"/>
                <w:highlight w:val="none"/>
              </w:rPr>
              <w:t>（成立不满一年不需提供）</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447" w:type="dxa"/>
            <w:vAlign w:val="center"/>
          </w:tcPr>
          <w:p>
            <w:pPr>
              <w:spacing w:line="360" w:lineRule="auto"/>
              <w:rPr>
                <w:rFonts w:ascii="宋体" w:hAnsi="宋体"/>
                <w:iCs/>
                <w:color w:val="auto"/>
                <w:szCs w:val="21"/>
                <w:highlight w:val="none"/>
              </w:rPr>
            </w:pPr>
            <w:r>
              <w:rPr>
                <w:rFonts w:hint="eastAsia" w:ascii="宋体" w:hAnsi="宋体" w:cs="宋体"/>
                <w:color w:val="auto"/>
                <w:szCs w:val="21"/>
                <w:highlight w:val="none"/>
              </w:rPr>
              <w:t>具备履行合同所必需的设备和专业技术能力的证明材料</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5447" w:type="dxa"/>
            <w:vAlign w:val="center"/>
          </w:tcPr>
          <w:p>
            <w:pPr>
              <w:spacing w:line="360" w:lineRule="auto"/>
              <w:rPr>
                <w:rFonts w:ascii="宋体" w:hAnsi="宋体"/>
                <w:iCs/>
                <w:color w:val="auto"/>
                <w:szCs w:val="21"/>
                <w:highlight w:val="none"/>
              </w:rPr>
            </w:pPr>
            <w:r>
              <w:rPr>
                <w:rFonts w:hint="eastAsia" w:ascii="宋体" w:hAnsi="宋体" w:cs="宋体"/>
                <w:color w:val="auto"/>
                <w:szCs w:val="21"/>
                <w:highlight w:val="none"/>
              </w:rPr>
              <w:t xml:space="preserve"> 参加本次政府采购活动前3年内在经营活动中没有重大违法记录的书面声明</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544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vAlign w:val="center"/>
          </w:tcPr>
          <w:p>
            <w:pPr>
              <w:rPr>
                <w:rFonts w:ascii="宋体" w:hAnsi="宋体"/>
                <w:color w:val="auto"/>
                <w:szCs w:val="21"/>
                <w:highlight w:val="none"/>
              </w:rPr>
            </w:pPr>
            <w:r>
              <w:rPr>
                <w:rFonts w:hint="eastAsia" w:ascii="宋体" w:hAnsi="宋体" w:cs="宋体"/>
                <w:b/>
                <w:bCs/>
                <w:color w:val="auto"/>
                <w:szCs w:val="21"/>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447" w:type="dxa"/>
            <w:vAlign w:val="center"/>
          </w:tcPr>
          <w:p>
            <w:pPr>
              <w:pStyle w:val="10"/>
              <w:spacing w:before="0" w:after="0" w:line="360" w:lineRule="auto"/>
              <w:rPr>
                <w:color w:val="auto"/>
                <w:highlight w:val="none"/>
              </w:rPr>
            </w:pPr>
            <w:r>
              <w:rPr>
                <w:rFonts w:hint="eastAsia" w:ascii="宋体" w:hAnsi="宋体" w:cs="宋体"/>
                <w:b w:val="0"/>
                <w:bCs w:val="0"/>
                <w:color w:val="auto"/>
                <w:sz w:val="21"/>
                <w:szCs w:val="21"/>
                <w:highlight w:val="none"/>
              </w:rPr>
              <w:t>本项目属于服务类采购。根据《政府采购促进中小企业发展管理办法》（财库〔2020〕46号）、《关于做好政府采购支持企业发展有关事项的通知》(苏财购(2020)52号)的要求，本项目小型、微型企业在评标时享受扶持政策。所称小型、微型企业须满足《政府采购促进中小企业发展管理办法》（财库〔2020〕46号）第二条和第四条的规定，采购服务由中小企业承接，即提供服务的人员为中小企业依照《中华人民共和国劳动合同法》订立劳动合同的从业人员。（投标人必须提供中小企业声明函（见格式））</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447" w:type="dxa"/>
            <w:vAlign w:val="center"/>
          </w:tcPr>
          <w:p>
            <w:pPr>
              <w:pStyle w:val="10"/>
              <w:spacing w:before="0" w:after="0"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中小微企业划型标准请对照《关于印发中小企业划型标准规定的通知》（工信部联企业〔2011〕300号）（详见格式）。本项目采购标的对应的行业主要为其他未列明行业。</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vAlign w:val="center"/>
          </w:tcPr>
          <w:p>
            <w:pPr>
              <w:spacing w:line="360" w:lineRule="auto"/>
              <w:rPr>
                <w:rFonts w:ascii="宋体" w:hAnsi="宋体"/>
                <w:color w:val="auto"/>
                <w:szCs w:val="21"/>
                <w:highlight w:val="none"/>
              </w:rPr>
            </w:pPr>
            <w:r>
              <w:rPr>
                <w:rFonts w:hint="eastAsia" w:ascii="宋体" w:hAnsi="宋体"/>
                <w:b/>
                <w:color w:val="auto"/>
                <w:szCs w:val="21"/>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447" w:type="dxa"/>
            <w:vAlign w:val="center"/>
          </w:tcPr>
          <w:p>
            <w:pPr>
              <w:rPr>
                <w:rFonts w:ascii="宋体" w:hAnsi="宋体"/>
                <w:iCs/>
                <w:color w:val="auto"/>
                <w:szCs w:val="21"/>
                <w:highlight w:val="none"/>
              </w:rPr>
            </w:pPr>
            <w:r>
              <w:rPr>
                <w:rFonts w:hint="eastAsia" w:ascii="宋体" w:hAnsi="宋体"/>
                <w:iCs/>
                <w:color w:val="auto"/>
                <w:szCs w:val="21"/>
                <w:highlight w:val="none"/>
              </w:rPr>
              <w:t>中华人民共和国实行安装安全认可证，制造、经营许可，强制性认证、准入证制度的产品、行业，必须提供中华人民共和国有关部门颁发的资质证明文件</w:t>
            </w:r>
          </w:p>
        </w:tc>
        <w:tc>
          <w:tcPr>
            <w:tcW w:w="215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447" w:type="dxa"/>
            <w:vAlign w:val="center"/>
          </w:tcPr>
          <w:p>
            <w:pPr>
              <w:rPr>
                <w:rFonts w:ascii="宋体" w:hAnsi="宋体"/>
                <w:iCs/>
                <w:color w:val="auto"/>
                <w:szCs w:val="21"/>
                <w:highlight w:val="none"/>
              </w:rPr>
            </w:pPr>
            <w:r>
              <w:rPr>
                <w:rFonts w:hint="eastAsia" w:ascii="宋体" w:hAnsi="宋体"/>
                <w:iCs/>
                <w:color w:val="auto"/>
                <w:szCs w:val="21"/>
                <w:highlight w:val="none"/>
              </w:rPr>
              <w:t>供应商信用承诺函</w:t>
            </w:r>
          </w:p>
        </w:tc>
        <w:tc>
          <w:tcPr>
            <w:tcW w:w="2158" w:type="dxa"/>
            <w:vAlign w:val="center"/>
          </w:tcPr>
          <w:p>
            <w:pPr>
              <w:rPr>
                <w:rFonts w:ascii="宋体" w:hAnsi="宋体"/>
                <w:color w:val="auto"/>
                <w:szCs w:val="21"/>
                <w:highlight w:val="none"/>
              </w:rPr>
            </w:pPr>
          </w:p>
        </w:tc>
      </w:tr>
    </w:tbl>
    <w:p>
      <w:pPr>
        <w:rPr>
          <w:rFonts w:ascii="宋体" w:hAnsi="宋体"/>
          <w:b/>
          <w:bCs/>
          <w:color w:val="auto"/>
          <w:highlight w:val="none"/>
        </w:rPr>
      </w:pPr>
      <w:r>
        <w:rPr>
          <w:rFonts w:hint="eastAsia" w:ascii="宋体" w:hAnsi="宋体"/>
          <w:b/>
          <w:bCs/>
          <w:color w:val="auto"/>
          <w:highlight w:val="none"/>
        </w:rPr>
        <w:br w:type="page"/>
      </w:r>
    </w:p>
    <w:p>
      <w:pPr>
        <w:spacing w:before="156" w:beforeLines="50" w:after="156" w:afterLines="50" w:line="360" w:lineRule="auto"/>
        <w:ind w:firstLine="1476" w:firstLineChars="700"/>
        <w:rPr>
          <w:rFonts w:ascii="宋体" w:hAnsi="宋体"/>
          <w:b/>
          <w:bCs/>
          <w:color w:val="auto"/>
          <w:highlight w:val="none"/>
        </w:rPr>
      </w:pPr>
      <w:r>
        <w:rPr>
          <w:rFonts w:hint="eastAsia" w:ascii="宋体" w:hAnsi="宋体"/>
          <w:b/>
          <w:bCs/>
          <w:color w:val="auto"/>
          <w:highlight w:val="none"/>
        </w:rPr>
        <w:t>具备履行合同所必需的设备和专业技术能力的书面声明</w:t>
      </w:r>
    </w:p>
    <w:p>
      <w:pPr>
        <w:spacing w:line="460" w:lineRule="exact"/>
        <w:ind w:firstLine="492"/>
        <w:rPr>
          <w:rFonts w:ascii="宋体" w:hAnsi="宋体"/>
          <w:bCs/>
          <w:color w:val="auto"/>
          <w:szCs w:val="21"/>
          <w:highlight w:val="none"/>
        </w:rPr>
      </w:pPr>
      <w:r>
        <w:rPr>
          <w:rFonts w:hint="eastAsia" w:ascii="宋体" w:hAnsi="宋体"/>
          <w:bCs/>
          <w:color w:val="auto"/>
          <w:szCs w:val="21"/>
          <w:highlight w:val="none"/>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auto"/>
          <w:szCs w:val="21"/>
          <w:highlight w:val="none"/>
        </w:rPr>
      </w:pPr>
      <w:r>
        <w:rPr>
          <w:rFonts w:hint="eastAsia" w:ascii="宋体" w:hAnsi="宋体"/>
          <w:bCs/>
          <w:color w:val="auto"/>
          <w:szCs w:val="21"/>
          <w:highlight w:val="none"/>
        </w:rPr>
        <w:t>主要设备有：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pPr>
        <w:spacing w:line="460" w:lineRule="exact"/>
        <w:ind w:firstLine="492"/>
        <w:rPr>
          <w:rFonts w:ascii="宋体" w:hAnsi="宋体"/>
          <w:bCs/>
          <w:color w:val="auto"/>
          <w:szCs w:val="21"/>
          <w:highlight w:val="none"/>
        </w:rPr>
      </w:pPr>
      <w:r>
        <w:rPr>
          <w:rFonts w:hint="eastAsia" w:ascii="宋体" w:hAnsi="宋体"/>
          <w:bCs/>
          <w:color w:val="auto"/>
          <w:szCs w:val="21"/>
          <w:highlight w:val="none"/>
        </w:rPr>
        <w:t>主要专业技术能力有：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adjustRightInd w:val="0"/>
        <w:spacing w:line="600" w:lineRule="exact"/>
        <w:contextualSpacing/>
        <w:rPr>
          <w:rFonts w:ascii="宋体" w:hAnsi="宋体"/>
          <w:b/>
          <w:color w:val="auto"/>
          <w:sz w:val="36"/>
          <w:highlight w:val="none"/>
        </w:rPr>
      </w:pPr>
    </w:p>
    <w:p>
      <w:pPr>
        <w:pStyle w:val="10"/>
        <w:rPr>
          <w:color w:val="auto"/>
          <w:highlight w:val="none"/>
        </w:rPr>
      </w:pPr>
    </w:p>
    <w:p>
      <w:pPr>
        <w:adjustRightInd w:val="0"/>
        <w:spacing w:line="600" w:lineRule="exact"/>
        <w:contextualSpacing/>
        <w:rPr>
          <w:rFonts w:ascii="宋体" w:hAnsi="宋体"/>
          <w:b/>
          <w:color w:val="auto"/>
          <w:sz w:val="36"/>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参加本次政府采购活动前 3 年内在经营活动中没有重大违法记录的书面声明</w:t>
      </w:r>
    </w:p>
    <w:p>
      <w:pPr>
        <w:spacing w:line="360" w:lineRule="auto"/>
        <w:rPr>
          <w:rFonts w:ascii="宋体" w:hAnsi="宋体"/>
          <w:color w:val="auto"/>
          <w:highlight w:val="none"/>
        </w:rPr>
      </w:pPr>
    </w:p>
    <w:p>
      <w:pPr>
        <w:spacing w:after="312" w:afterLines="100" w:line="360" w:lineRule="auto"/>
        <w:jc w:val="center"/>
        <w:rPr>
          <w:rFonts w:ascii="宋体" w:hAnsi="宋体"/>
          <w:b/>
          <w:bCs/>
          <w:color w:val="auto"/>
          <w:highlight w:val="none"/>
        </w:rPr>
      </w:pPr>
      <w:r>
        <w:rPr>
          <w:rFonts w:hint="eastAsia" w:ascii="宋体" w:hAnsi="宋体"/>
          <w:b/>
          <w:bCs/>
          <w:color w:val="auto"/>
          <w:highlight w:val="none"/>
        </w:rPr>
        <w:t>声  明</w:t>
      </w:r>
    </w:p>
    <w:p>
      <w:pPr>
        <w:spacing w:line="360" w:lineRule="auto"/>
        <w:rPr>
          <w:rFonts w:ascii="宋体" w:hAnsi="宋体"/>
          <w:bCs/>
          <w:color w:val="auto"/>
          <w:highlight w:val="none"/>
        </w:rPr>
      </w:pPr>
      <w:r>
        <w:rPr>
          <w:rFonts w:hint="eastAsia" w:ascii="宋体" w:hAnsi="宋体"/>
          <w:b/>
          <w:bCs/>
          <w:color w:val="auto"/>
          <w:highlight w:val="none"/>
        </w:rPr>
        <w:t xml:space="preserve">    </w:t>
      </w: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color w:val="auto"/>
          <w:highlight w:val="none"/>
        </w:rPr>
      </w:pPr>
      <w:r>
        <w:rPr>
          <w:rFonts w:hint="eastAsia" w:ascii="宋体" w:hAnsi="宋体"/>
          <w:bCs/>
          <w:color w:val="auto"/>
          <w:highlight w:val="none"/>
        </w:rPr>
        <w:t xml:space="preserve">                               供应商名称（公章）：</w:t>
      </w:r>
    </w:p>
    <w:p>
      <w:pPr>
        <w:spacing w:line="360" w:lineRule="auto"/>
        <w:rPr>
          <w:rFonts w:ascii="宋体" w:hAnsi="宋体"/>
          <w:bCs/>
          <w:color w:val="auto"/>
          <w:highlight w:val="none"/>
        </w:rPr>
      </w:pPr>
      <w:r>
        <w:rPr>
          <w:rFonts w:hint="eastAsia" w:ascii="宋体" w:hAnsi="宋体"/>
          <w:bCs/>
          <w:color w:val="auto"/>
          <w:highlight w:val="none"/>
        </w:rPr>
        <w:t xml:space="preserve">                               法定代表人签章：</w:t>
      </w:r>
      <w:r>
        <w:rPr>
          <w:rFonts w:hint="eastAsia" w:ascii="宋体" w:hAnsi="宋体"/>
          <w:bCs/>
          <w:color w:val="auto"/>
          <w:highlight w:val="none"/>
          <w:u w:val="single"/>
        </w:rPr>
        <w:t>_______________________</w:t>
      </w:r>
    </w:p>
    <w:p>
      <w:pPr>
        <w:spacing w:line="360" w:lineRule="auto"/>
        <w:rPr>
          <w:rFonts w:ascii="宋体" w:hAnsi="宋体"/>
          <w:bCs/>
          <w:color w:val="auto"/>
          <w:highlight w:val="none"/>
        </w:rPr>
      </w:pPr>
      <w:r>
        <w:rPr>
          <w:rFonts w:hint="eastAsia" w:ascii="宋体" w:hAnsi="宋体"/>
          <w:bCs/>
          <w:color w:val="auto"/>
          <w:highlight w:val="none"/>
        </w:rPr>
        <w:t xml:space="preserve">                               日期：</w:t>
      </w:r>
      <w:r>
        <w:rPr>
          <w:rFonts w:hint="eastAsia" w:ascii="宋体" w:hAnsi="宋体"/>
          <w:bCs/>
          <w:color w:val="auto"/>
          <w:highlight w:val="none"/>
          <w:u w:val="single"/>
        </w:rPr>
        <w:t>______</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500" w:lineRule="exact"/>
        <w:jc w:val="center"/>
        <w:rPr>
          <w:rFonts w:ascii="宋体" w:hAnsi="宋体"/>
          <w:b/>
          <w:color w:val="auto"/>
          <w:szCs w:val="21"/>
          <w:highlight w:val="none"/>
        </w:rPr>
      </w:pPr>
      <w:r>
        <w:rPr>
          <w:rFonts w:hint="eastAsia" w:ascii="宋体" w:hAnsi="宋体"/>
          <w:b/>
          <w:bCs/>
          <w:color w:val="auto"/>
          <w:highlight w:val="none"/>
        </w:rPr>
        <w:br w:type="page"/>
      </w:r>
      <w:r>
        <w:rPr>
          <w:rFonts w:hint="eastAsia" w:ascii="宋体" w:hAnsi="宋体"/>
          <w:b/>
          <w:color w:val="auto"/>
          <w:szCs w:val="21"/>
          <w:highlight w:val="none"/>
        </w:rPr>
        <w:t>供应商信用承诺书</w:t>
      </w:r>
    </w:p>
    <w:p>
      <w:pPr>
        <w:spacing w:line="500" w:lineRule="exact"/>
        <w:rPr>
          <w:rFonts w:ascii="方正仿宋_GBK"/>
          <w:color w:val="auto"/>
          <w:szCs w:val="32"/>
          <w:highlight w:val="none"/>
        </w:rPr>
      </w:pPr>
    </w:p>
    <w:p>
      <w:pPr>
        <w:spacing w:line="560" w:lineRule="exact"/>
        <w:rPr>
          <w:rFonts w:ascii="宋体" w:hAnsi="宋体"/>
          <w:color w:val="auto"/>
          <w:szCs w:val="21"/>
          <w:highlight w:val="none"/>
        </w:rPr>
      </w:pPr>
      <w:r>
        <w:rPr>
          <w:rFonts w:hint="eastAsia" w:ascii="宋体" w:hAnsi="宋体"/>
          <w:color w:val="auto"/>
          <w:szCs w:val="21"/>
          <w:highlight w:val="none"/>
        </w:rPr>
        <w:t>承诺主体名称：</w:t>
      </w:r>
    </w:p>
    <w:p>
      <w:pPr>
        <w:spacing w:line="560" w:lineRule="exact"/>
        <w:rPr>
          <w:rFonts w:ascii="宋体" w:hAnsi="宋体"/>
          <w:color w:val="auto"/>
          <w:szCs w:val="21"/>
          <w:highlight w:val="none"/>
        </w:rPr>
      </w:pPr>
      <w:r>
        <w:rPr>
          <w:rFonts w:hint="eastAsia" w:ascii="宋体" w:hAnsi="宋体"/>
          <w:color w:val="auto"/>
          <w:szCs w:val="21"/>
          <w:highlight w:val="none"/>
        </w:rPr>
        <w:t>统一社会信用代码：</w:t>
      </w:r>
    </w:p>
    <w:p>
      <w:pPr>
        <w:spacing w:line="560" w:lineRule="exact"/>
        <w:rPr>
          <w:rFonts w:ascii="宋体" w:hAnsi="宋体"/>
          <w:color w:val="auto"/>
          <w:szCs w:val="21"/>
          <w:highlight w:val="none"/>
        </w:rPr>
      </w:pP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一、对提供给注册登记部门、行业管理部门、司法部门、行业组织以及在政府采购活动中提交的所有资料的合法性、真实性、准确性和有效性负责；</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二、严格按照国家法律、法规和规章开展采购活动，全面履行应尽的责任和义务，全面做到履约守信，具备《中华人民共和国政府采购法》第二十二条第一款规定的条件;</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三、严格依法开展生产经营活动，主动接受行业监管，自愿接受依法开展的日常检查；违法失信经营后将自愿接受约束和惩戒，并依法承担相应责任；</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四、自觉接受行政管理部门、行业组织、社会公众、新闻舆论的监督；</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五、自觉做到自我约束、自我管理，不制假售假、商标侵权、虚假宣传、违约毁约、恶意逃债、偷税漏税、垄断和不正当竞争，维护经营者、消费者的合法权益；</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六、提出政府采购质疑和投诉坚持依法依规、诚实信用原则，在全国范围12个月内没有三次以上查无实据的政府采购投诉；</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七、严格遵守信用信息公示相关规定，向社会公示信用信息；</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八、在“信用中国”和“中国政府采购网”网站中无违法违规、较重或严重失信记录；</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十、本承诺书自签订之日起生效。</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 （注：法定代表人或负责人、主体名称发生变更的应当重新做出承诺。）</w:t>
      </w:r>
    </w:p>
    <w:p>
      <w:pPr>
        <w:spacing w:line="560" w:lineRule="exact"/>
        <w:rPr>
          <w:rFonts w:ascii="宋体" w:hAnsi="宋体"/>
          <w:color w:val="auto"/>
          <w:szCs w:val="21"/>
          <w:highlight w:val="none"/>
        </w:rPr>
      </w:pPr>
    </w:p>
    <w:p>
      <w:pPr>
        <w:spacing w:line="560" w:lineRule="exact"/>
        <w:jc w:val="center"/>
        <w:rPr>
          <w:rFonts w:ascii="宋体" w:hAnsi="宋体"/>
          <w:color w:val="auto"/>
          <w:szCs w:val="21"/>
          <w:highlight w:val="none"/>
        </w:rPr>
      </w:pPr>
      <w:r>
        <w:rPr>
          <w:rFonts w:hint="eastAsia" w:ascii="宋体" w:hAnsi="宋体"/>
          <w:color w:val="auto"/>
          <w:szCs w:val="21"/>
          <w:highlight w:val="none"/>
        </w:rPr>
        <w:t xml:space="preserve">　　　　　　　　　　        承诺单位（签章）：           </w:t>
      </w:r>
    </w:p>
    <w:p>
      <w:pPr>
        <w:spacing w:line="560" w:lineRule="exact"/>
        <w:jc w:val="center"/>
        <w:rPr>
          <w:rFonts w:ascii="宋体" w:hAnsi="宋体"/>
          <w:color w:val="auto"/>
          <w:szCs w:val="21"/>
          <w:highlight w:val="none"/>
        </w:rPr>
      </w:pPr>
      <w:r>
        <w:rPr>
          <w:rFonts w:hint="eastAsia" w:ascii="宋体" w:hAnsi="宋体"/>
          <w:color w:val="auto"/>
          <w:szCs w:val="21"/>
          <w:highlight w:val="none"/>
        </w:rPr>
        <w:t>　　　　　　　　　   　  法定代表人（负责人）：</w:t>
      </w:r>
    </w:p>
    <w:p>
      <w:pPr>
        <w:spacing w:line="560" w:lineRule="exact"/>
        <w:jc w:val="center"/>
        <w:rPr>
          <w:rFonts w:ascii="宋体" w:hAnsi="宋体"/>
          <w:color w:val="auto"/>
          <w:szCs w:val="21"/>
          <w:highlight w:val="none"/>
        </w:rPr>
      </w:pPr>
      <w:r>
        <w:rPr>
          <w:rFonts w:hint="eastAsia" w:ascii="宋体" w:hAnsi="宋体"/>
          <w:color w:val="auto"/>
          <w:szCs w:val="21"/>
          <w:highlight w:val="none"/>
        </w:rPr>
        <w:t>　　　　　　　　　      　年    月    日</w:t>
      </w:r>
    </w:p>
    <w:p>
      <w:pPr>
        <w:spacing w:line="500" w:lineRule="exact"/>
        <w:jc w:val="center"/>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br w:type="page"/>
      </w:r>
    </w:p>
    <w:p>
      <w:pPr>
        <w:spacing w:line="360" w:lineRule="auto"/>
        <w:jc w:val="center"/>
        <w:rPr>
          <w:rFonts w:ascii="宋体" w:hAnsi="宋体"/>
          <w:b/>
          <w:bCs/>
          <w:color w:val="auto"/>
          <w:highlight w:val="none"/>
        </w:rPr>
      </w:pPr>
      <w:r>
        <w:rPr>
          <w:rFonts w:hint="eastAsia" w:ascii="宋体" w:hAnsi="宋体"/>
          <w:b/>
          <w:bCs/>
          <w:color w:val="auto"/>
          <w:highlight w:val="none"/>
        </w:rPr>
        <w:t>投标函格式</w:t>
      </w:r>
    </w:p>
    <w:p>
      <w:pPr>
        <w:pStyle w:val="26"/>
        <w:spacing w:before="0" w:after="0"/>
        <w:ind w:firstLine="0"/>
        <w:rPr>
          <w:rFonts w:ascii="宋体" w:hAnsi="宋体"/>
          <w:color w:val="auto"/>
          <w:kern w:val="2"/>
          <w:sz w:val="21"/>
          <w:szCs w:val="21"/>
          <w:highlight w:val="none"/>
        </w:rPr>
      </w:pPr>
      <w:r>
        <w:rPr>
          <w:rFonts w:hint="eastAsia" w:ascii="宋体" w:hAnsi="宋体"/>
          <w:color w:val="auto"/>
          <w:kern w:val="2"/>
          <w:sz w:val="21"/>
          <w:szCs w:val="21"/>
          <w:highlight w:val="none"/>
        </w:rPr>
        <w:t>致：</w:t>
      </w:r>
      <w:r>
        <w:rPr>
          <w:rFonts w:hint="eastAsia" w:hAnsi="宋体"/>
          <w:color w:val="auto"/>
          <w:sz w:val="21"/>
          <w:highlight w:val="none"/>
        </w:rPr>
        <w:t>（江苏海外集团国际工程咨询有限公司）</w:t>
      </w:r>
    </w:p>
    <w:p>
      <w:pPr>
        <w:pStyle w:val="26"/>
        <w:spacing w:before="0" w:after="0"/>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根据贵方的（）</w:t>
      </w:r>
      <w:r>
        <w:rPr>
          <w:rFonts w:hint="eastAsia" w:ascii="宋体" w:hAnsi="宋体"/>
          <w:color w:val="auto"/>
          <w:kern w:val="2"/>
          <w:sz w:val="21"/>
          <w:szCs w:val="21"/>
          <w:highlight w:val="none"/>
        </w:rPr>
        <w:t>号</w:t>
      </w:r>
      <w:r>
        <w:rPr>
          <w:rFonts w:hint="eastAsia" w:ascii="宋体" w:hAnsi="宋体"/>
          <w:color w:val="auto"/>
          <w:kern w:val="2"/>
          <w:sz w:val="21"/>
          <w:szCs w:val="21"/>
          <w:highlight w:val="none"/>
        </w:rPr>
        <w:t>招标文件，正式授权下述签字人_________________(姓名)代表我方______________（投标人的名称），全权处理本次项目投标的有关事宜。</w:t>
      </w:r>
    </w:p>
    <w:p>
      <w:pPr>
        <w:pStyle w:val="26"/>
        <w:spacing w:before="0" w:after="0"/>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据此函，__________签字人（姓名）兹宣布同意如下：</w:t>
      </w:r>
    </w:p>
    <w:p>
      <w:pPr>
        <w:pStyle w:val="26"/>
        <w:spacing w:before="0" w:after="0"/>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1.按招标文件规定的各项要求，向买方提供所需货物与服务。</w:t>
      </w:r>
    </w:p>
    <w:p>
      <w:pPr>
        <w:pStyle w:val="26"/>
        <w:spacing w:before="0" w:after="0"/>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2.我们完全理解贵方不一定将合同授予最低报价的投标人。</w:t>
      </w:r>
    </w:p>
    <w:p>
      <w:pPr>
        <w:pStyle w:val="26"/>
        <w:spacing w:before="0" w:after="0"/>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3.我们已详细审核全部招标文件及其有效补充文件，我们知道必须放弃提出含糊不清或误解问题的权利。</w:t>
      </w:r>
    </w:p>
    <w:p>
      <w:pPr>
        <w:pStyle w:val="26"/>
        <w:spacing w:before="0" w:after="0"/>
        <w:rPr>
          <w:rFonts w:ascii="宋体" w:hAnsi="宋体"/>
          <w:color w:val="auto"/>
          <w:kern w:val="2"/>
          <w:sz w:val="21"/>
          <w:szCs w:val="21"/>
          <w:highlight w:val="none"/>
        </w:rPr>
      </w:pPr>
      <w:r>
        <w:rPr>
          <w:rFonts w:hint="eastAsia" w:ascii="宋体" w:hAnsi="宋体"/>
          <w:color w:val="auto"/>
          <w:kern w:val="2"/>
          <w:sz w:val="21"/>
          <w:szCs w:val="21"/>
          <w:highlight w:val="none"/>
        </w:rPr>
        <w:t>4.我们同意从规定的开标日期起遵循本投标文件，并在规定的投标有效期期满之前均具有约束力。</w:t>
      </w:r>
    </w:p>
    <w:p>
      <w:pPr>
        <w:pStyle w:val="26"/>
        <w:spacing w:before="0" w:after="0"/>
        <w:rPr>
          <w:rFonts w:ascii="宋体" w:hAnsi="宋体"/>
          <w:color w:val="auto"/>
          <w:kern w:val="2"/>
          <w:sz w:val="21"/>
          <w:szCs w:val="21"/>
          <w:highlight w:val="none"/>
        </w:rPr>
      </w:pPr>
      <w:r>
        <w:rPr>
          <w:rFonts w:hint="eastAsia" w:ascii="宋体" w:hAnsi="宋体"/>
          <w:color w:val="auto"/>
          <w:kern w:val="2"/>
          <w:sz w:val="21"/>
          <w:szCs w:val="21"/>
          <w:highlight w:val="none"/>
        </w:rPr>
        <w:t>5.同意向贵方提供贵方可能另外要求的与投标有关的任何证据或资料，并保证我方已提供和将要提供的文件是真实的、准确的。</w:t>
      </w:r>
    </w:p>
    <w:p>
      <w:pPr>
        <w:pStyle w:val="26"/>
        <w:spacing w:before="0" w:after="0"/>
        <w:rPr>
          <w:rFonts w:ascii="宋体" w:hAnsi="宋体"/>
          <w:color w:val="auto"/>
          <w:kern w:val="2"/>
          <w:sz w:val="21"/>
          <w:szCs w:val="21"/>
          <w:highlight w:val="none"/>
        </w:rPr>
      </w:pPr>
      <w:r>
        <w:rPr>
          <w:rFonts w:hint="eastAsia" w:ascii="宋体" w:hAnsi="宋体"/>
          <w:color w:val="auto"/>
          <w:kern w:val="2"/>
          <w:sz w:val="21"/>
          <w:szCs w:val="21"/>
          <w:highlight w:val="none"/>
        </w:rPr>
        <w:t>6.一旦我方中标,我方将根据招标文件的规定，严格履行合同的责任和义务,并保证在招标文件规定的时间完成项目，交付买方验收、使用。</w:t>
      </w:r>
    </w:p>
    <w:p>
      <w:pPr>
        <w:pStyle w:val="26"/>
        <w:spacing w:before="0" w:after="0"/>
        <w:ind w:left="425" w:firstLine="105" w:firstLineChars="50"/>
        <w:rPr>
          <w:rFonts w:ascii="宋体" w:hAnsi="宋体"/>
          <w:color w:val="auto"/>
          <w:kern w:val="2"/>
          <w:sz w:val="21"/>
          <w:szCs w:val="21"/>
          <w:highlight w:val="none"/>
        </w:rPr>
      </w:pPr>
      <w:r>
        <w:rPr>
          <w:rFonts w:hint="eastAsia" w:ascii="宋体" w:hAnsi="宋体"/>
          <w:color w:val="auto"/>
          <w:kern w:val="2"/>
          <w:sz w:val="21"/>
          <w:szCs w:val="21"/>
          <w:highlight w:val="none"/>
        </w:rPr>
        <w:t>7.与本投标有关的正式通讯地址为：</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地 址：</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邮 编：</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 xml:space="preserve">电 话： </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 xml:space="preserve">传 真： </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投标人开户行：</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 xml:space="preserve">账 户： </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行 号：</w:t>
      </w:r>
    </w:p>
    <w:p>
      <w:pPr>
        <w:pStyle w:val="26"/>
        <w:spacing w:before="0" w:after="0"/>
        <w:ind w:firstLine="478" w:firstLineChars="228"/>
        <w:rPr>
          <w:rFonts w:ascii="宋体" w:hAnsi="宋体"/>
          <w:color w:val="auto"/>
          <w:kern w:val="2"/>
          <w:sz w:val="21"/>
          <w:szCs w:val="21"/>
          <w:highlight w:val="none"/>
        </w:rPr>
      </w:pPr>
      <w:r>
        <w:rPr>
          <w:rFonts w:hint="eastAsia" w:ascii="宋体" w:hAnsi="宋体"/>
          <w:color w:val="auto"/>
          <w:kern w:val="2"/>
          <w:sz w:val="21"/>
          <w:szCs w:val="21"/>
          <w:highlight w:val="none"/>
        </w:rPr>
        <w:t>日 期：________年____月____日</w:t>
      </w:r>
    </w:p>
    <w:p>
      <w:pPr>
        <w:adjustRightInd w:val="0"/>
        <w:spacing w:line="600" w:lineRule="exact"/>
        <w:contextualSpacing/>
        <w:rPr>
          <w:rFonts w:ascii="宋体" w:hAnsi="宋体"/>
          <w:b/>
          <w:bCs/>
          <w:color w:val="auto"/>
          <w:sz w:val="32"/>
          <w:szCs w:val="32"/>
          <w:highlight w:val="none"/>
        </w:rPr>
      </w:pPr>
    </w:p>
    <w:p>
      <w:pPr>
        <w:rPr>
          <w:rFonts w:ascii="宋体" w:hAnsi="宋体"/>
          <w:b/>
          <w:color w:val="auto"/>
          <w:sz w:val="32"/>
          <w:szCs w:val="32"/>
          <w:highlight w:val="none"/>
        </w:rPr>
      </w:pPr>
      <w:r>
        <w:rPr>
          <w:rFonts w:hint="eastAsia" w:ascii="宋体" w:hAnsi="宋体"/>
          <w:b/>
          <w:color w:val="auto"/>
          <w:sz w:val="32"/>
          <w:szCs w:val="32"/>
          <w:highlight w:val="none"/>
        </w:rPr>
        <w:br w:type="page"/>
      </w:r>
    </w:p>
    <w:p>
      <w:pPr>
        <w:pStyle w:val="27"/>
        <w:spacing w:after="312" w:afterLines="100"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法人授权书</w:t>
      </w:r>
    </w:p>
    <w:p>
      <w:pPr>
        <w:pStyle w:val="2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本授权书声明：</w:t>
      </w:r>
      <w:r>
        <w:rPr>
          <w:rFonts w:ascii="宋体" w:hAnsi="宋体"/>
          <w:color w:val="auto"/>
          <w:sz w:val="21"/>
          <w:szCs w:val="21"/>
          <w:highlight w:val="none"/>
        </w:rPr>
        <w:t>________________</w:t>
      </w:r>
      <w:r>
        <w:rPr>
          <w:rFonts w:hint="eastAsia" w:ascii="宋体" w:hAnsi="宋体"/>
          <w:color w:val="auto"/>
          <w:sz w:val="21"/>
          <w:szCs w:val="21"/>
          <w:highlight w:val="none"/>
        </w:rPr>
        <w:t>（投标人名称）授权</w:t>
      </w:r>
      <w:r>
        <w:rPr>
          <w:rFonts w:ascii="宋体" w:hAnsi="宋体"/>
          <w:color w:val="auto"/>
          <w:sz w:val="21"/>
          <w:szCs w:val="21"/>
          <w:highlight w:val="none"/>
        </w:rPr>
        <w:t>________________</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rPr>
        <w:t>（项目编号）</w:t>
      </w:r>
      <w:r>
        <w:rPr>
          <w:rFonts w:hint="eastAsia" w:ascii="宋体" w:hAnsi="宋体"/>
          <w:color w:val="auto"/>
          <w:sz w:val="21"/>
          <w:szCs w:val="21"/>
          <w:highlight w:val="none"/>
        </w:rPr>
        <w:t>号（项目名称）项目采购活动的合法代理人，以本公司名义全权处理一切与该项目采购有关的事务。</w:t>
      </w:r>
    </w:p>
    <w:p>
      <w:pPr>
        <w:pStyle w:val="2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本授权书于</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w:t>
      </w:r>
      <w:r>
        <w:rPr>
          <w:rFonts w:hint="eastAsia" w:ascii="宋体" w:hAnsi="宋体"/>
          <w:color w:val="auto"/>
          <w:sz w:val="21"/>
          <w:szCs w:val="21"/>
          <w:highlight w:val="none"/>
        </w:rPr>
        <w:t>月</w:t>
      </w:r>
      <w:r>
        <w:rPr>
          <w:rFonts w:ascii="宋体" w:hAnsi="宋体"/>
          <w:color w:val="auto"/>
          <w:sz w:val="21"/>
          <w:szCs w:val="21"/>
          <w:highlight w:val="none"/>
        </w:rPr>
        <w:t>____</w:t>
      </w:r>
      <w:r>
        <w:rPr>
          <w:rFonts w:hint="eastAsia" w:ascii="宋体" w:hAnsi="宋体"/>
          <w:color w:val="auto"/>
          <w:sz w:val="21"/>
          <w:szCs w:val="21"/>
          <w:highlight w:val="none"/>
        </w:rPr>
        <w:t>日起生效，特此声明。</w:t>
      </w:r>
    </w:p>
    <w:p>
      <w:pPr>
        <w:pStyle w:val="27"/>
        <w:spacing w:line="360" w:lineRule="auto"/>
        <w:ind w:firstLine="0" w:firstLineChars="0"/>
        <w:rPr>
          <w:rFonts w:ascii="宋体" w:hAnsi="宋体"/>
          <w:color w:val="auto"/>
          <w:sz w:val="21"/>
          <w:szCs w:val="21"/>
          <w:highlight w:val="none"/>
        </w:rPr>
      </w:pPr>
      <w:r>
        <w:rPr>
          <w:rFonts w:ascii="宋体" w:hAnsi="宋体"/>
          <w:color w:val="auto"/>
          <w:sz w:val="21"/>
          <w:szCs w:val="21"/>
          <w:highlight w:val="none"/>
        </w:rPr>
        <w:t xml:space="preserve">    </w:t>
      </w:r>
    </w:p>
    <w:p>
      <w:pPr>
        <w:pStyle w:val="2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被授权人姓名：</w:t>
      </w:r>
      <w:r>
        <w:rPr>
          <w:rFonts w:ascii="宋体" w:hAnsi="宋体"/>
          <w:color w:val="auto"/>
          <w:sz w:val="21"/>
          <w:szCs w:val="21"/>
          <w:highlight w:val="none"/>
        </w:rPr>
        <w:t>_____________________</w:t>
      </w:r>
      <w:r>
        <w:rPr>
          <w:rFonts w:hint="eastAsia" w:ascii="宋体" w:hAnsi="宋体"/>
          <w:color w:val="auto"/>
          <w:sz w:val="21"/>
          <w:szCs w:val="21"/>
          <w:highlight w:val="none"/>
          <w:u w:val="single"/>
        </w:rPr>
        <w:t xml:space="preserve">         </w:t>
      </w:r>
      <w:r>
        <w:rPr>
          <w:rFonts w:ascii="宋体" w:hAnsi="宋体"/>
          <w:color w:val="auto"/>
          <w:sz w:val="21"/>
          <w:szCs w:val="21"/>
          <w:highlight w:val="none"/>
        </w:rPr>
        <w:t>__</w:t>
      </w:r>
      <w:r>
        <w:rPr>
          <w:rFonts w:hint="eastAsia" w:ascii="宋体" w:hAnsi="宋体"/>
          <w:color w:val="auto"/>
          <w:sz w:val="21"/>
          <w:szCs w:val="21"/>
          <w:highlight w:val="none"/>
        </w:rPr>
        <w:t xml:space="preserve">     </w:t>
      </w:r>
    </w:p>
    <w:p>
      <w:pPr>
        <w:pStyle w:val="27"/>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联系电话（手机）：</w:t>
      </w:r>
      <w:r>
        <w:rPr>
          <w:rFonts w:hint="eastAsia" w:ascii="宋体" w:hAnsi="宋体"/>
          <w:color w:val="auto"/>
          <w:sz w:val="21"/>
          <w:szCs w:val="21"/>
          <w:highlight w:val="none"/>
          <w:u w:val="single"/>
        </w:rPr>
        <w:t xml:space="preserve">                             </w:t>
      </w:r>
    </w:p>
    <w:p>
      <w:pPr>
        <w:pStyle w:val="27"/>
        <w:spacing w:line="360" w:lineRule="auto"/>
        <w:ind w:firstLine="0" w:firstLineChars="0"/>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单位名称：</w:t>
      </w:r>
      <w:r>
        <w:rPr>
          <w:rFonts w:ascii="宋体" w:hAnsi="宋体"/>
          <w:color w:val="auto"/>
          <w:sz w:val="21"/>
          <w:szCs w:val="21"/>
          <w:highlight w:val="none"/>
        </w:rPr>
        <w:t>____________________________________</w:t>
      </w:r>
    </w:p>
    <w:p>
      <w:pPr>
        <w:pStyle w:val="27"/>
        <w:spacing w:line="360" w:lineRule="auto"/>
        <w:ind w:firstLine="420"/>
        <w:rPr>
          <w:color w:val="auto"/>
          <w:sz w:val="21"/>
          <w:szCs w:val="21"/>
          <w:highlight w:val="none"/>
          <w:u w:val="single"/>
        </w:rPr>
      </w:pPr>
      <w:r>
        <w:rPr>
          <w:rFonts w:hint="eastAsia"/>
          <w:color w:val="auto"/>
          <w:sz w:val="21"/>
          <w:szCs w:val="21"/>
          <w:highlight w:val="none"/>
        </w:rPr>
        <w:t>单位地址：</w:t>
      </w:r>
      <w:r>
        <w:rPr>
          <w:color w:val="auto"/>
          <w:sz w:val="21"/>
          <w:szCs w:val="21"/>
          <w:highlight w:val="none"/>
          <w:u w:val="single"/>
        </w:rPr>
        <w:t xml:space="preserve">                                         </w:t>
      </w:r>
    </w:p>
    <w:p>
      <w:pPr>
        <w:pStyle w:val="27"/>
        <w:spacing w:line="360" w:lineRule="auto"/>
        <w:ind w:firstLine="420"/>
        <w:rPr>
          <w:color w:val="auto"/>
          <w:sz w:val="21"/>
          <w:szCs w:val="21"/>
          <w:highlight w:val="none"/>
        </w:rPr>
      </w:pPr>
      <w:r>
        <w:rPr>
          <w:rFonts w:hint="eastAsia"/>
          <w:color w:val="auto"/>
          <w:sz w:val="21"/>
          <w:szCs w:val="21"/>
          <w:highlight w:val="none"/>
        </w:rPr>
        <w:t>日期：</w:t>
      </w:r>
      <w:r>
        <w:rPr>
          <w:color w:val="auto"/>
          <w:sz w:val="21"/>
          <w:szCs w:val="21"/>
          <w:highlight w:val="none"/>
          <w:u w:val="single"/>
        </w:rPr>
        <w:t xml:space="preserve">                                         </w:t>
      </w:r>
      <w:r>
        <w:rPr>
          <w:color w:val="auto"/>
          <w:sz w:val="21"/>
          <w:szCs w:val="21"/>
          <w:highlight w:val="none"/>
        </w:rPr>
        <w:t xml:space="preserve"> </w:t>
      </w:r>
    </w:p>
    <w:p>
      <w:pPr>
        <w:spacing w:line="460" w:lineRule="exact"/>
        <w:rPr>
          <w:rFonts w:ascii="宋体" w:hAnsi="宋体"/>
          <w:bCs/>
          <w:color w:val="auto"/>
          <w:highlight w:val="none"/>
        </w:rPr>
      </w:pPr>
    </w:p>
    <w:p>
      <w:pPr>
        <w:spacing w:line="460" w:lineRule="exact"/>
        <w:rPr>
          <w:rFonts w:ascii="宋体" w:hAnsi="宋体"/>
          <w:bCs/>
          <w:color w:val="auto"/>
          <w:sz w:val="24"/>
          <w:highlight w:val="none"/>
        </w:rPr>
      </w:pPr>
    </w:p>
    <w:p>
      <w:pPr>
        <w:spacing w:line="360" w:lineRule="auto"/>
        <w:rPr>
          <w:rFonts w:ascii="宋体" w:hAnsi="宋体"/>
          <w:bCs/>
          <w:color w:val="auto"/>
          <w:highlight w:val="none"/>
        </w:rPr>
      </w:pPr>
      <w:r>
        <w:rPr>
          <w:rFonts w:hint="eastAsia" w:ascii="宋体" w:hAnsi="宋体"/>
          <w:bCs/>
          <w:color w:val="auto"/>
          <w:highlight w:val="none"/>
        </w:rPr>
        <w:t>注：</w:t>
      </w:r>
    </w:p>
    <w:p>
      <w:pPr>
        <w:spacing w:line="360" w:lineRule="auto"/>
        <w:ind w:firstLine="420" w:firstLineChars="200"/>
        <w:rPr>
          <w:rFonts w:ascii="宋体" w:hAnsi="宋体"/>
          <w:bCs/>
          <w:color w:val="auto"/>
          <w:highlight w:val="none"/>
        </w:rPr>
      </w:pPr>
      <w:r>
        <w:rPr>
          <w:rFonts w:hint="eastAsia" w:ascii="宋体" w:hAnsi="宋体"/>
          <w:bCs/>
          <w:color w:val="auto"/>
          <w:highlight w:val="none"/>
        </w:rPr>
        <w:t>1、需同时提供法定代表人和被授权人身份证复印件，如法定代表人签署文件则无需出具授权书，仅需提供法定代表人身份证复印件</w:t>
      </w:r>
    </w:p>
    <w:p>
      <w:pPr>
        <w:spacing w:line="360" w:lineRule="auto"/>
        <w:ind w:firstLine="420" w:firstLineChars="200"/>
        <w:rPr>
          <w:rFonts w:ascii="宋体" w:hAnsi="宋体"/>
          <w:bCs/>
          <w:color w:val="auto"/>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宋体" w:hAnsi="宋体"/>
          <w:bCs/>
          <w:color w:val="auto"/>
          <w:highlight w:val="none"/>
        </w:rPr>
        <w:t>2、需提供被授权人近三个月内</w:t>
      </w:r>
      <w:r>
        <w:rPr>
          <w:rFonts w:hint="eastAsia" w:ascii="宋体" w:hAnsi="宋体"/>
          <w:b/>
          <w:color w:val="auto"/>
          <w:highlight w:val="none"/>
        </w:rPr>
        <w:t>（即2023年9月-2023年11月期间）</w:t>
      </w:r>
      <w:r>
        <w:rPr>
          <w:rFonts w:hint="eastAsia" w:ascii="宋体" w:hAnsi="宋体"/>
          <w:bCs/>
          <w:color w:val="auto"/>
          <w:highlight w:val="none"/>
        </w:rPr>
        <w:t>至少一个月的投标人为其缴纳社会保障资金记录，如法定代表人签署文件则无需出具。投标人依法享受缓缴、免缴社会保障资金的提供证明材料，如若因成立时间未进行缴纳社会保障资金的，需提供说明。</w:t>
      </w:r>
    </w:p>
    <w:p>
      <w:pPr>
        <w:pStyle w:val="8"/>
        <w:rPr>
          <w:rFonts w:ascii="宋体" w:hAnsi="宋体"/>
          <w:color w:val="auto"/>
          <w:sz w:val="32"/>
          <w:szCs w:val="32"/>
          <w:highlight w:val="none"/>
        </w:rPr>
      </w:pPr>
      <w:r>
        <w:rPr>
          <w:rFonts w:hint="eastAsia" w:asciiTheme="minorEastAsia" w:hAnsiTheme="minorEastAsia" w:eastAsiaTheme="minorEastAsia"/>
          <w:color w:val="auto"/>
          <w:sz w:val="32"/>
          <w:highlight w:val="none"/>
        </w:rPr>
        <w:t>二、符合性审查响应对照表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5447" w:type="dxa"/>
            <w:vAlign w:val="center"/>
          </w:tcPr>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符合性审查响应内容</w:t>
            </w:r>
          </w:p>
        </w:tc>
        <w:tc>
          <w:tcPr>
            <w:tcW w:w="1680"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是否响应</w:t>
            </w:r>
          </w:p>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308" w:type="dxa"/>
            <w:vAlign w:val="center"/>
          </w:tcPr>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5447" w:type="dxa"/>
            <w:vAlign w:val="center"/>
          </w:tcPr>
          <w:p>
            <w:pPr>
              <w:spacing w:line="360" w:lineRule="auto"/>
              <w:jc w:val="left"/>
              <w:rPr>
                <w:rFonts w:ascii="宋体" w:hAnsi="宋体"/>
                <w:bCs/>
                <w:iCs/>
                <w:color w:val="auto"/>
                <w:szCs w:val="21"/>
                <w:highlight w:val="none"/>
              </w:rPr>
            </w:pPr>
            <w:r>
              <w:rPr>
                <w:rFonts w:hint="eastAsia"/>
                <w:bCs/>
                <w:color w:val="auto"/>
                <w:szCs w:val="21"/>
                <w:highlight w:val="none"/>
              </w:rPr>
              <w:t>非选择性报价</w:t>
            </w:r>
          </w:p>
        </w:tc>
        <w:tc>
          <w:tcPr>
            <w:tcW w:w="1680" w:type="dxa"/>
            <w:vAlign w:val="center"/>
          </w:tcPr>
          <w:p>
            <w:pPr>
              <w:rPr>
                <w:rFonts w:ascii="宋体" w:hAnsi="宋体"/>
                <w:b/>
                <w:color w:val="auto"/>
                <w:szCs w:val="21"/>
                <w:highlight w:val="none"/>
              </w:rPr>
            </w:pPr>
          </w:p>
        </w:tc>
        <w:tc>
          <w:tcPr>
            <w:tcW w:w="1308" w:type="dxa"/>
            <w:vAlign w:val="center"/>
          </w:tcPr>
          <w:p>
            <w:pP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5447" w:type="dxa"/>
            <w:vAlign w:val="center"/>
          </w:tcPr>
          <w:p>
            <w:pPr>
              <w:spacing w:line="360" w:lineRule="auto"/>
              <w:jc w:val="left"/>
              <w:rPr>
                <w:rFonts w:ascii="宋体" w:hAnsi="宋体"/>
                <w:bCs/>
                <w:iCs/>
                <w:color w:val="auto"/>
                <w:szCs w:val="21"/>
                <w:highlight w:val="none"/>
              </w:rPr>
            </w:pPr>
            <w:r>
              <w:rPr>
                <w:bCs/>
                <w:color w:val="auto"/>
                <w:szCs w:val="21"/>
                <w:highlight w:val="none"/>
              </w:rPr>
              <w:t>法定代表人身份证明或授权委托书</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5447" w:type="dxa"/>
            <w:vAlign w:val="center"/>
          </w:tcPr>
          <w:p>
            <w:pPr>
              <w:spacing w:line="360" w:lineRule="auto"/>
              <w:jc w:val="left"/>
              <w:rPr>
                <w:rFonts w:ascii="宋体" w:hAnsi="宋体"/>
                <w:bCs/>
                <w:iCs/>
                <w:color w:val="auto"/>
                <w:szCs w:val="21"/>
                <w:highlight w:val="none"/>
              </w:rPr>
            </w:pPr>
            <w:r>
              <w:rPr>
                <w:bCs/>
                <w:color w:val="auto"/>
                <w:szCs w:val="21"/>
                <w:highlight w:val="none"/>
              </w:rPr>
              <w:t>投标文件签署、盖章齐全完整</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5447" w:type="dxa"/>
            <w:vAlign w:val="center"/>
          </w:tcPr>
          <w:p>
            <w:pPr>
              <w:spacing w:line="360" w:lineRule="auto"/>
              <w:jc w:val="left"/>
              <w:rPr>
                <w:rFonts w:ascii="宋体" w:hAnsi="宋体"/>
                <w:bCs/>
                <w:iCs/>
                <w:color w:val="auto"/>
                <w:szCs w:val="21"/>
                <w:highlight w:val="none"/>
              </w:rPr>
            </w:pPr>
            <w:r>
              <w:rPr>
                <w:rFonts w:hint="eastAsia"/>
                <w:bCs/>
                <w:color w:val="auto"/>
                <w:szCs w:val="21"/>
                <w:highlight w:val="none"/>
              </w:rPr>
              <w:t>投标有效期</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5447" w:type="dxa"/>
            <w:vAlign w:val="center"/>
          </w:tcPr>
          <w:p>
            <w:pPr>
              <w:spacing w:line="360" w:lineRule="auto"/>
              <w:jc w:val="left"/>
              <w:rPr>
                <w:rFonts w:ascii="宋体" w:hAnsi="宋体"/>
                <w:bCs/>
                <w:iCs/>
                <w:color w:val="auto"/>
                <w:szCs w:val="21"/>
                <w:highlight w:val="none"/>
              </w:rPr>
            </w:pPr>
            <w:r>
              <w:rPr>
                <w:rFonts w:hint="eastAsia"/>
                <w:bCs/>
                <w:color w:val="auto"/>
                <w:szCs w:val="21"/>
                <w:highlight w:val="none"/>
              </w:rPr>
              <w:t>项目需求中的实质性要求</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6" w:type="dxa"/>
            <w:vAlign w:val="center"/>
          </w:tcPr>
          <w:p>
            <w:pPr>
              <w:jc w:val="center"/>
              <w:rPr>
                <w:rFonts w:ascii="宋体" w:hAnsi="宋体"/>
                <w:bCs/>
                <w:color w:val="auto"/>
                <w:szCs w:val="21"/>
                <w:highlight w:val="none"/>
              </w:rPr>
            </w:pPr>
            <w:r>
              <w:rPr>
                <w:rFonts w:hint="eastAsia" w:ascii="宋体" w:hAnsi="宋体"/>
                <w:bCs/>
                <w:color w:val="auto"/>
                <w:szCs w:val="21"/>
                <w:highlight w:val="none"/>
              </w:rPr>
              <w:t>6</w:t>
            </w:r>
          </w:p>
        </w:tc>
        <w:tc>
          <w:tcPr>
            <w:tcW w:w="5447" w:type="dxa"/>
            <w:vAlign w:val="center"/>
          </w:tcPr>
          <w:p>
            <w:pPr>
              <w:spacing w:line="360" w:lineRule="auto"/>
              <w:jc w:val="left"/>
              <w:rPr>
                <w:rFonts w:ascii="宋体" w:hAnsi="宋体"/>
                <w:bCs/>
                <w:iCs/>
                <w:color w:val="auto"/>
                <w:szCs w:val="21"/>
                <w:highlight w:val="none"/>
              </w:rPr>
            </w:pPr>
            <w:r>
              <w:rPr>
                <w:bCs/>
                <w:color w:val="auto"/>
                <w:szCs w:val="21"/>
                <w:highlight w:val="none"/>
              </w:rPr>
              <w:t>其他</w:t>
            </w:r>
            <w:r>
              <w:rPr>
                <w:rFonts w:hint="eastAsia"/>
                <w:bCs/>
                <w:color w:val="auto"/>
                <w:szCs w:val="21"/>
                <w:highlight w:val="none"/>
              </w:rPr>
              <w:t>实质性要求</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bl>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rPr>
          <w:rFonts w:ascii="宋体" w:hAnsi="宋体"/>
          <w:b/>
          <w:bCs/>
          <w:color w:val="auto"/>
          <w:sz w:val="32"/>
          <w:szCs w:val="32"/>
          <w:highlight w:val="none"/>
        </w:rPr>
      </w:pPr>
    </w:p>
    <w:p>
      <w:pPr>
        <w:pStyle w:val="8"/>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三、非实质性响应对照表</w:t>
      </w:r>
    </w:p>
    <w:p>
      <w:pPr>
        <w:rPr>
          <w:rFonts w:ascii="宋体" w:hAnsi="宋体"/>
          <w:b/>
          <w:color w:val="auto"/>
          <w:sz w:val="32"/>
          <w:szCs w:val="32"/>
          <w:highlight w:val="none"/>
        </w:rPr>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5447" w:type="dxa"/>
            <w:vAlign w:val="center"/>
          </w:tcPr>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非实质性响应内容</w:t>
            </w:r>
          </w:p>
        </w:tc>
        <w:tc>
          <w:tcPr>
            <w:tcW w:w="1680"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是否响应</w:t>
            </w:r>
          </w:p>
          <w:p>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308"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c>
          <w:tcPr>
            <w:tcW w:w="5447" w:type="dxa"/>
            <w:vAlign w:val="center"/>
          </w:tcPr>
          <w:p>
            <w:pPr>
              <w:spacing w:line="0" w:lineRule="atLeast"/>
              <w:rPr>
                <w:rFonts w:ascii="宋体" w:hAnsi="宋体"/>
                <w:iCs/>
                <w:color w:val="auto"/>
                <w:szCs w:val="21"/>
                <w:highlight w:val="none"/>
              </w:rPr>
            </w:pPr>
            <w:r>
              <w:rPr>
                <w:rFonts w:hint="eastAsia" w:ascii="宋体" w:hAnsi="宋体"/>
                <w:color w:val="auto"/>
                <w:szCs w:val="21"/>
                <w:highlight w:val="none"/>
              </w:rPr>
              <w:t>《企业声明函》</w:t>
            </w:r>
          </w:p>
        </w:tc>
        <w:tc>
          <w:tcPr>
            <w:tcW w:w="1680" w:type="dxa"/>
            <w:vAlign w:val="center"/>
          </w:tcPr>
          <w:p>
            <w:pPr>
              <w:rPr>
                <w:rFonts w:ascii="宋体" w:hAnsi="宋体"/>
                <w:b/>
                <w:color w:val="auto"/>
                <w:szCs w:val="21"/>
                <w:highlight w:val="none"/>
              </w:rPr>
            </w:pPr>
          </w:p>
        </w:tc>
        <w:tc>
          <w:tcPr>
            <w:tcW w:w="1308" w:type="dxa"/>
            <w:vAlign w:val="center"/>
          </w:tcPr>
          <w:p>
            <w:pP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447" w:type="dxa"/>
            <w:vAlign w:val="center"/>
          </w:tcPr>
          <w:p>
            <w:pPr>
              <w:spacing w:line="0" w:lineRule="atLeast"/>
              <w:rPr>
                <w:rFonts w:ascii="宋体" w:hAnsi="宋体"/>
                <w:iCs/>
                <w:color w:val="auto"/>
                <w:szCs w:val="21"/>
                <w:highlight w:val="none"/>
              </w:rPr>
            </w:pPr>
            <w:r>
              <w:rPr>
                <w:rFonts w:hint="eastAsia" w:ascii="宋体" w:hAnsi="宋体"/>
                <w:color w:val="auto"/>
                <w:szCs w:val="21"/>
                <w:highlight w:val="none"/>
              </w:rPr>
              <w:t>《残疾人福利性单位声明函》</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447" w:type="dxa"/>
            <w:vAlign w:val="center"/>
          </w:tcPr>
          <w:p>
            <w:pPr>
              <w:snapToGrid w:val="0"/>
              <w:spacing w:line="0" w:lineRule="atLeast"/>
              <w:rPr>
                <w:rFonts w:ascii="宋体" w:hAnsi="宋体"/>
                <w:iCs/>
                <w:color w:val="auto"/>
                <w:szCs w:val="21"/>
                <w:highlight w:val="none"/>
              </w:rPr>
            </w:pPr>
            <w:r>
              <w:rPr>
                <w:rFonts w:ascii="宋体" w:hAnsi="宋体"/>
                <w:iCs/>
                <w:color w:val="auto"/>
                <w:szCs w:val="21"/>
                <w:highlight w:val="none"/>
              </w:rPr>
              <w:t>……</w:t>
            </w:r>
          </w:p>
        </w:tc>
        <w:tc>
          <w:tcPr>
            <w:tcW w:w="1680" w:type="dxa"/>
            <w:vAlign w:val="center"/>
          </w:tcPr>
          <w:p>
            <w:pPr>
              <w:rPr>
                <w:rFonts w:ascii="宋体" w:hAnsi="宋体"/>
                <w:color w:val="auto"/>
                <w:szCs w:val="21"/>
                <w:highlight w:val="none"/>
              </w:rPr>
            </w:pPr>
          </w:p>
        </w:tc>
        <w:tc>
          <w:tcPr>
            <w:tcW w:w="1308" w:type="dxa"/>
            <w:vAlign w:val="center"/>
          </w:tcPr>
          <w:p>
            <w:pPr>
              <w:rPr>
                <w:rFonts w:ascii="宋体" w:hAnsi="宋体"/>
                <w:color w:val="auto"/>
                <w:szCs w:val="21"/>
                <w:highlight w:val="none"/>
              </w:rPr>
            </w:pPr>
          </w:p>
        </w:tc>
      </w:tr>
    </w:tbl>
    <w:p>
      <w:pPr>
        <w:adjustRightInd w:val="0"/>
        <w:spacing w:line="600" w:lineRule="exact"/>
        <w:contextualSpacing/>
        <w:jc w:val="center"/>
        <w:rPr>
          <w:rFonts w:ascii="宋体" w:hAnsi="宋体"/>
          <w:b/>
          <w:bCs/>
          <w:color w:val="auto"/>
          <w:sz w:val="32"/>
          <w:szCs w:val="32"/>
          <w:highlight w:val="none"/>
        </w:rPr>
      </w:pPr>
    </w:p>
    <w:p>
      <w:pPr>
        <w:adjustRightInd w:val="0"/>
        <w:spacing w:line="600" w:lineRule="exact"/>
        <w:contextualSpacing/>
        <w:jc w:val="center"/>
        <w:rPr>
          <w:rFonts w:ascii="宋体" w:hAnsi="宋体"/>
          <w:b/>
          <w:bCs/>
          <w:color w:val="auto"/>
          <w:sz w:val="32"/>
          <w:szCs w:val="32"/>
          <w:highlight w:val="none"/>
        </w:rPr>
      </w:pPr>
    </w:p>
    <w:p>
      <w:pPr>
        <w:rPr>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spacing w:before="312" w:beforeLines="100" w:after="312" w:afterLines="100" w:line="360" w:lineRule="auto"/>
        <w:jc w:val="center"/>
        <w:rPr>
          <w:b/>
          <w:bCs/>
          <w:color w:val="auto"/>
          <w:highlight w:val="none"/>
        </w:rPr>
      </w:pPr>
    </w:p>
    <w:p>
      <w:pPr>
        <w:rPr>
          <w:b/>
          <w:bCs/>
          <w:color w:val="auto"/>
          <w:highlight w:val="none"/>
        </w:rPr>
      </w:pPr>
      <w:r>
        <w:rPr>
          <w:rFonts w:hint="eastAsia"/>
          <w:b/>
          <w:bCs/>
          <w:color w:val="auto"/>
          <w:highlight w:val="none"/>
        </w:rPr>
        <w:br w:type="page"/>
      </w:r>
    </w:p>
    <w:p>
      <w:pPr>
        <w:spacing w:before="312" w:beforeLines="100" w:after="312" w:afterLines="100" w:line="360" w:lineRule="auto"/>
        <w:jc w:val="center"/>
        <w:rPr>
          <w:b/>
          <w:bCs/>
          <w:color w:val="auto"/>
          <w:highlight w:val="none"/>
        </w:rPr>
      </w:pPr>
      <w:r>
        <w:rPr>
          <w:rFonts w:hint="eastAsia"/>
          <w:b/>
          <w:bCs/>
          <w:color w:val="auto"/>
          <w:highlight w:val="none"/>
        </w:rPr>
        <w:t>中小企业声明函（工程、服务）</w:t>
      </w:r>
    </w:p>
    <w:p>
      <w:pPr>
        <w:spacing w:line="360" w:lineRule="auto"/>
        <w:ind w:firstLine="420" w:firstLineChars="200"/>
        <w:jc w:val="left"/>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color w:val="auto"/>
          <w:highlight w:val="none"/>
          <w:u w:val="singl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w:t>
      </w:r>
      <w:r>
        <w:rPr>
          <w:rFonts w:hint="eastAsia" w:ascii="宋体" w:hAnsi="宋体"/>
          <w:color w:val="auto"/>
          <w:highlight w:val="none"/>
          <w:u w:val="single"/>
        </w:rPr>
        <w:t>（不得对行业类别修改）</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ascii="仿宋" w:eastAsia="Times New Roman"/>
          <w:color w:val="auto"/>
          <w:spacing w:val="-1"/>
          <w:highlight w:val="none"/>
          <w:vertAlign w:val="superscript"/>
        </w:rPr>
        <w:t>1</w:t>
      </w:r>
      <w:r>
        <w:rPr>
          <w:rFonts w:ascii="仿宋" w:eastAsia="Times New Roman"/>
          <w:color w:val="auto"/>
          <w:spacing w:val="-1"/>
          <w:highlight w:val="none"/>
          <w:vertAlign w:val="superscript"/>
        </w:rPr>
        <w:fldChar w:fldCharType="end"/>
      </w:r>
      <w:r>
        <w:rPr>
          <w:rFonts w:hint="eastAsia"/>
          <w:color w:val="auto"/>
          <w:highlight w:val="none"/>
        </w:rPr>
        <w:t>，属于</w:t>
      </w:r>
      <w:r>
        <w:rPr>
          <w:rFonts w:hint="eastAsia"/>
          <w:color w:val="auto"/>
          <w:highlight w:val="none"/>
          <w:u w:val="single"/>
        </w:rPr>
        <w:t>（中型企业、小型企业、微型企业）；</w:t>
      </w:r>
    </w:p>
    <w:p>
      <w:pPr>
        <w:spacing w:line="360" w:lineRule="auto"/>
        <w:ind w:firstLine="420" w:firstLineChars="200"/>
        <w:jc w:val="left"/>
        <w:rPr>
          <w:color w:val="auto"/>
          <w:highlight w:val="none"/>
          <w:u w:val="singl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，属于</w:t>
      </w:r>
      <w:r>
        <w:rPr>
          <w:rFonts w:hint="eastAsia"/>
          <w:color w:val="auto"/>
          <w:highlight w:val="none"/>
          <w:u w:val="single"/>
        </w:rPr>
        <w:t>（）（不得对行业类别修改）</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p>
    <w:p>
      <w:pPr>
        <w:spacing w:line="360" w:lineRule="auto"/>
        <w:ind w:firstLine="42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color w:val="auto"/>
          <w:highlight w:val="none"/>
        </w:rPr>
      </w:pPr>
      <w:r>
        <w:rPr>
          <w:rFonts w:hint="eastAsia"/>
          <w:color w:val="auto"/>
          <w:highlight w:val="none"/>
        </w:rPr>
        <w:t>本企业对上述声明内容的真实性负责。如有虚假，将依法承担相应责任。</w:t>
      </w:r>
    </w:p>
    <w:p>
      <w:pPr>
        <w:spacing w:line="360" w:lineRule="auto"/>
        <w:rPr>
          <w:rFonts w:ascii="宋体" w:hAnsi="宋体"/>
          <w:color w:val="auto"/>
          <w:highlight w:val="none"/>
        </w:rPr>
      </w:pPr>
      <w:r>
        <w:rPr>
          <w:rFonts w:hint="eastAsia" w:ascii="宋体" w:hAnsi="宋体"/>
          <w:color w:val="auto"/>
          <w:highlight w:val="none"/>
        </w:rPr>
        <w:t>注：1、</w:t>
      </w:r>
      <w:r>
        <w:rPr>
          <w:rFonts w:hint="eastAsia"/>
          <w:color w:val="auto"/>
          <w:highlight w:val="none"/>
        </w:rPr>
        <w:t>从业人员（不仅指在职职工）、营业收入、资产总额填报上一年度数据，无上一年度数据的新成立企业可不填报。</w:t>
      </w:r>
    </w:p>
    <w:p>
      <w:pPr>
        <w:spacing w:line="360" w:lineRule="auto"/>
        <w:ind w:firstLine="420" w:firstLineChars="200"/>
        <w:rPr>
          <w:rFonts w:ascii="宋体" w:hAnsi="宋体"/>
          <w:color w:val="auto"/>
          <w:highlight w:val="none"/>
        </w:rPr>
      </w:pPr>
      <w:r>
        <w:rPr>
          <w:rFonts w:hint="eastAsia" w:ascii="宋体" w:hAnsi="宋体"/>
          <w:color w:val="auto"/>
          <w:highlight w:val="none"/>
        </w:rPr>
        <w:t>2、供应商如不提供此声明函，价格将不做相应扣除。</w:t>
      </w:r>
    </w:p>
    <w:p>
      <w:pPr>
        <w:spacing w:line="360" w:lineRule="auto"/>
        <w:rPr>
          <w:rFonts w:ascii="宋体" w:hAnsi="宋体"/>
          <w:color w:val="auto"/>
          <w:highlight w:val="none"/>
        </w:rPr>
      </w:pPr>
      <w:r>
        <w:rPr>
          <w:rFonts w:hint="eastAsia" w:ascii="宋体" w:hAnsi="宋体"/>
          <w:color w:val="auto"/>
          <w:highlight w:val="none"/>
        </w:rPr>
        <w:t xml:space="preserve">    3、企业声明函请完整填写，中标后将公示。</w:t>
      </w:r>
    </w:p>
    <w:p>
      <w:pPr>
        <w:spacing w:line="360" w:lineRule="auto"/>
        <w:ind w:firstLine="420" w:firstLineChars="200"/>
        <w:jc w:val="left"/>
        <w:rPr>
          <w:color w:val="auto"/>
          <w:highlight w:val="none"/>
        </w:rPr>
      </w:pPr>
      <w:r>
        <w:rPr>
          <w:rFonts w:hint="eastAsia"/>
          <w:color w:val="auto"/>
          <w:highlight w:val="none"/>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60" w:lineRule="auto"/>
        <w:ind w:firstLine="420" w:firstLineChars="200"/>
        <w:jc w:val="left"/>
        <w:rPr>
          <w:color w:val="auto"/>
          <w:highlight w:val="none"/>
        </w:rPr>
      </w:pPr>
      <w:r>
        <w:rPr>
          <w:rFonts w:hint="eastAsia"/>
          <w:color w:val="auto"/>
          <w:highlight w:val="none"/>
        </w:rPr>
        <w:t>5、中小企业不得属于大企业的分支机构，不得存在控股股东为大企业的情形，不得存在与大企业的负责人为同一人的情形。</w:t>
      </w:r>
    </w:p>
    <w:p>
      <w:pPr>
        <w:spacing w:line="360" w:lineRule="auto"/>
        <w:ind w:firstLine="420" w:firstLineChars="200"/>
        <w:jc w:val="left"/>
        <w:rPr>
          <w:color w:val="auto"/>
          <w:highlight w:val="none"/>
        </w:rPr>
      </w:pPr>
      <w:r>
        <w:rPr>
          <w:rFonts w:hint="eastAsia"/>
          <w:color w:val="auto"/>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4620" w:firstLineChars="2200"/>
        <w:jc w:val="left"/>
        <w:rPr>
          <w:color w:val="auto"/>
          <w:highlight w:val="none"/>
        </w:rPr>
      </w:pPr>
      <w:r>
        <w:rPr>
          <w:rFonts w:hint="eastAsia"/>
          <w:color w:val="auto"/>
          <w:highlight w:val="none"/>
        </w:rPr>
        <w:t>企业名称（盖章）：</w:t>
      </w:r>
    </w:p>
    <w:p>
      <w:pPr>
        <w:spacing w:line="360" w:lineRule="auto"/>
        <w:ind w:firstLine="4620" w:firstLineChars="2200"/>
        <w:jc w:val="left"/>
        <w:rPr>
          <w:color w:val="auto"/>
          <w:highlight w:val="none"/>
        </w:rPr>
      </w:pPr>
      <w:r>
        <w:rPr>
          <w:rFonts w:hint="eastAsia"/>
          <w:color w:val="auto"/>
          <w:highlight w:val="none"/>
        </w:rPr>
        <w:t>日 期：</w:t>
      </w:r>
    </w:p>
    <w:p>
      <w:pPr>
        <w:pStyle w:val="8"/>
        <w:widowControl/>
        <w:spacing w:before="300" w:after="300" w:line="360" w:lineRule="auto"/>
        <w:rPr>
          <w:rFonts w:ascii="宋体" w:hAnsi="宋体" w:eastAsia="宋体"/>
          <w:color w:val="auto"/>
          <w:sz w:val="21"/>
          <w:szCs w:val="21"/>
          <w:highlight w:val="none"/>
        </w:rPr>
      </w:pPr>
      <w:r>
        <w:rPr>
          <w:rFonts w:hint="eastAsia" w:ascii="宋体" w:hAnsi="宋体" w:eastAsia="宋体" w:cs="微软雅黑"/>
          <w:bCs w:val="0"/>
          <w:color w:val="auto"/>
          <w:sz w:val="21"/>
          <w:szCs w:val="21"/>
          <w:highlight w:val="none"/>
        </w:rPr>
        <w:t>中小微企业划型标准</w:t>
      </w:r>
      <w:r>
        <w:rPr>
          <w:rFonts w:hint="eastAsia" w:ascii="宋体" w:hAnsi="宋体" w:eastAsia="宋体" w:cs="微软雅黑"/>
          <w:bCs w:val="0"/>
          <w:color w:val="auto"/>
          <w:sz w:val="21"/>
          <w:szCs w:val="21"/>
          <w:highlight w:val="none"/>
        </w:rPr>
        <w:t> </w:t>
      </w:r>
    </w:p>
    <w:p>
      <w:pPr>
        <w:pStyle w:val="19"/>
        <w:widowControl/>
        <w:spacing w:before="300" w:after="452" w:line="360" w:lineRule="auto"/>
        <w:ind w:firstLine="420"/>
        <w:rPr>
          <w:rFonts w:ascii="宋体" w:hAnsi="宋体"/>
          <w:color w:val="auto"/>
          <w:sz w:val="21"/>
          <w:szCs w:val="21"/>
          <w:highlight w:val="none"/>
        </w:rPr>
      </w:pPr>
      <w:r>
        <w:rPr>
          <w:rFonts w:hint="eastAsia" w:ascii="宋体" w:hAnsi="宋体" w:cs="仿宋"/>
          <w:color w:val="auto"/>
          <w:sz w:val="21"/>
          <w:szCs w:val="21"/>
          <w:highlight w:val="none"/>
        </w:rPr>
        <w:t>    </w:t>
      </w:r>
      <w:r>
        <w:rPr>
          <w:rStyle w:val="23"/>
          <w:rFonts w:hint="eastAsia" w:ascii="宋体" w:hAnsi="宋体" w:cs="仿宋"/>
          <w:color w:val="auto"/>
          <w:sz w:val="21"/>
          <w:szCs w:val="21"/>
          <w:highlight w:val="none"/>
        </w:rPr>
        <w:t>中小微企业划型标准如下：</w:t>
      </w:r>
    </w:p>
    <w:tbl>
      <w:tblPr>
        <w:tblStyle w:val="20"/>
        <w:tblW w:w="898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505"/>
        <w:gridCol w:w="2089"/>
        <w:gridCol w:w="1709"/>
        <w:gridCol w:w="1500"/>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9"/>
              <w:widowControl/>
              <w:spacing w:after="150" w:line="360" w:lineRule="auto"/>
              <w:rPr>
                <w:rFonts w:ascii="宋体" w:hAnsi="宋体"/>
                <w:color w:val="auto"/>
                <w:sz w:val="21"/>
                <w:szCs w:val="21"/>
                <w:highlight w:val="none"/>
              </w:rPr>
            </w:pPr>
            <w:r>
              <w:rPr>
                <w:rStyle w:val="23"/>
                <w:rFonts w:hint="eastAsia" w:ascii="宋体" w:hAnsi="宋体" w:cs="仿宋"/>
                <w:color w:val="auto"/>
                <w:sz w:val="21"/>
                <w:szCs w:val="21"/>
                <w:highlight w:val="none"/>
              </w:rPr>
              <w:t>行业名称</w:t>
            </w:r>
          </w:p>
        </w:tc>
        <w:tc>
          <w:tcPr>
            <w:tcW w:w="170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指标名称</w:t>
            </w:r>
          </w:p>
        </w:tc>
        <w:tc>
          <w:tcPr>
            <w:tcW w:w="475"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计量单位</w:t>
            </w:r>
          </w:p>
        </w:tc>
        <w:tc>
          <w:tcPr>
            <w:tcW w:w="205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中型</w:t>
            </w:r>
          </w:p>
        </w:tc>
        <w:tc>
          <w:tcPr>
            <w:tcW w:w="167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小型</w:t>
            </w:r>
          </w:p>
        </w:tc>
        <w:tc>
          <w:tcPr>
            <w:tcW w:w="1455"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微型</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农、林、牧、渔</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500≤Y＜20000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50≤Y＜500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工业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2000≤Y＜40000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300≤Y＜2000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建筑业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6000≤Y＜80000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300≤Y＜6000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资产总额（Z）</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5000≤Z＜80000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300≤Z＜5000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Z＜300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批发业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20≤X＜200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5≤X＜20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X＜5</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5000≤Y＜40000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1000≤Y＜5000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零售业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10≤X＜50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500≤Y＜20000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100≤Y＜500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交通运输业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3000≤Y＜30000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200≤Y＜3000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Y＜200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仓储业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100≤X＜200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1000≤Y＜30000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100≤Y＜1000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邮政业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2000≤Y＜30000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住宿业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2000≤Y＜10000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餐饮业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2000≤Y＜10000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信息传输业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100≤X＜2000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1000≤Y＜100000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100≤Y＜1000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软件和信息技术服务业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1000≤Y＜10000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50≤Y＜1000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房地产开发经营</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1000≤Y＜200000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100≤X＜1000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资产总额（Z）</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5000≤Z＜10000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2000≤Y＜5000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Y＜2000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物业管理</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营业收入（Y）</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1000≤Y＜5000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500≤Y＜1000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Y＜500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租赁和商务服务业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pPr>
              <w:widowControl/>
              <w:jc w:val="left"/>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资产总额（Z）</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万万元</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8000≤Z＜120000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100≤Z＜8000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pStyle w:val="19"/>
              <w:widowControl/>
              <w:spacing w:after="150" w:line="360" w:lineRule="auto"/>
              <w:ind w:firstLine="420"/>
              <w:jc w:val="center"/>
              <w:rPr>
                <w:rFonts w:ascii="宋体" w:hAnsi="宋体"/>
                <w:color w:val="auto"/>
                <w:sz w:val="21"/>
                <w:szCs w:val="21"/>
                <w:highlight w:val="none"/>
              </w:rPr>
            </w:pPr>
            <w:r>
              <w:rPr>
                <w:rStyle w:val="23"/>
                <w:rFonts w:hint="eastAsia" w:ascii="宋体" w:hAnsi="宋体" w:cs="仿宋"/>
                <w:color w:val="auto"/>
                <w:sz w:val="21"/>
                <w:szCs w:val="21"/>
                <w:highlight w:val="none"/>
              </w:rPr>
              <w:t>其他未列明行业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从业人员（X）</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人</w:t>
            </w:r>
          </w:p>
        </w:tc>
        <w:tc>
          <w:tcPr>
            <w:tcW w:w="205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jc w:val="center"/>
              <w:rPr>
                <w:rFonts w:ascii="宋体" w:hAnsi="宋体"/>
                <w:color w:val="auto"/>
                <w:sz w:val="21"/>
                <w:szCs w:val="21"/>
                <w:highlight w:val="none"/>
              </w:rPr>
            </w:pPr>
            <w:r>
              <w:rPr>
                <w:rStyle w:val="23"/>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19"/>
              <w:widowControl/>
              <w:spacing w:after="150" w:line="360" w:lineRule="auto"/>
              <w:ind w:firstLine="420"/>
              <w:rPr>
                <w:rFonts w:ascii="宋体" w:hAnsi="宋体"/>
                <w:color w:val="auto"/>
                <w:sz w:val="21"/>
                <w:szCs w:val="21"/>
                <w:highlight w:val="none"/>
              </w:rPr>
            </w:pPr>
            <w:r>
              <w:rPr>
                <w:rStyle w:val="23"/>
                <w:rFonts w:hint="eastAsia" w:ascii="宋体" w:hAnsi="宋体" w:cs="仿宋"/>
                <w:color w:val="auto"/>
                <w:sz w:val="21"/>
                <w:szCs w:val="21"/>
                <w:highlight w:val="none"/>
              </w:rPr>
              <w:t>X＜10</w:t>
            </w:r>
          </w:p>
        </w:tc>
      </w:tr>
    </w:tbl>
    <w:p>
      <w:pPr>
        <w:pStyle w:val="19"/>
        <w:widowControl/>
        <w:spacing w:before="300" w:after="452" w:line="360" w:lineRule="auto"/>
        <w:ind w:firstLine="810"/>
        <w:rPr>
          <w:rStyle w:val="23"/>
          <w:rFonts w:ascii="宋体" w:hAnsi="宋体" w:cs="仿宋"/>
          <w:color w:val="auto"/>
          <w:sz w:val="21"/>
          <w:szCs w:val="21"/>
          <w:highlight w:val="none"/>
        </w:rPr>
      </w:pPr>
      <w:r>
        <w:rPr>
          <w:rStyle w:val="23"/>
          <w:rFonts w:hint="eastAsia" w:ascii="宋体" w:hAnsi="宋体" w:cs="仿宋"/>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pStyle w:val="10"/>
        <w:rPr>
          <w:rStyle w:val="23"/>
          <w:rFonts w:cs="仿宋"/>
          <w:b w:val="0"/>
          <w:color w:val="auto"/>
          <w:sz w:val="21"/>
          <w:szCs w:val="21"/>
          <w:highlight w:val="none"/>
        </w:rPr>
      </w:pPr>
      <w:r>
        <w:rPr>
          <w:rStyle w:val="23"/>
          <w:rFonts w:ascii="宋体" w:hAnsi="宋体" w:cs="仿宋"/>
          <w:b w:val="0"/>
          <w:color w:val="auto"/>
          <w:sz w:val="21"/>
          <w:szCs w:val="21"/>
          <w:highlight w:val="none"/>
        </w:rPr>
        <w:br w:type="page"/>
      </w:r>
    </w:p>
    <w:p>
      <w:pPr>
        <w:jc w:val="center"/>
        <w:rPr>
          <w:color w:val="auto"/>
          <w:kern w:val="0"/>
          <w:highlight w:val="none"/>
        </w:rPr>
      </w:pPr>
      <w:r>
        <w:rPr>
          <w:rFonts w:hint="eastAsia" w:ascii="宋体" w:hAnsi="宋体"/>
          <w:b/>
          <w:bCs/>
          <w:color w:val="auto"/>
          <w:highlight w:val="none"/>
        </w:rPr>
        <w:t>残疾人福利性单位声明函</w:t>
      </w:r>
    </w:p>
    <w:p>
      <w:pPr>
        <w:spacing w:line="588" w:lineRule="exact"/>
        <w:ind w:firstLine="624" w:firstLineChars="200"/>
        <w:rPr>
          <w:rFonts w:ascii="仿宋_GB2312" w:eastAsia="仿宋_GB2312"/>
          <w:color w:val="auto"/>
          <w:spacing w:val="6"/>
          <w:sz w:val="30"/>
          <w:szCs w:val="30"/>
          <w:highlight w:val="none"/>
        </w:rPr>
      </w:pP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本单位在本次政府采购活动中提供的残疾人福利单位产品报价合计为人民币（大写）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圆整（￥：     ）。</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（备注：1、供应商如不提供此声明函，价格将不做相应扣除。2、中标供应商为残疾人福利单位的，此声明函将随中标结果同时公告，接受社会监督）</w:t>
      </w:r>
    </w:p>
    <w:p>
      <w:pPr>
        <w:spacing w:line="588" w:lineRule="exact"/>
        <w:ind w:firstLine="444" w:firstLineChars="200"/>
        <w:rPr>
          <w:rFonts w:ascii="仿宋_GB2312" w:eastAsia="仿宋_GB2312"/>
          <w:color w:val="auto"/>
          <w:spacing w:val="6"/>
          <w:szCs w:val="21"/>
          <w:highlight w:val="none"/>
        </w:rPr>
      </w:pPr>
    </w:p>
    <w:p>
      <w:pPr>
        <w:tabs>
          <w:tab w:val="left" w:pos="4860"/>
        </w:tabs>
        <w:spacing w:line="588" w:lineRule="exact"/>
        <w:ind w:right="1560" w:firstLine="444" w:firstLineChars="200"/>
        <w:jc w:val="center"/>
        <w:rPr>
          <w:rFonts w:ascii="宋体" w:hAnsi="宋体"/>
          <w:color w:val="auto"/>
          <w:szCs w:val="21"/>
          <w:highlight w:val="none"/>
        </w:rPr>
      </w:pPr>
      <w:r>
        <w:rPr>
          <w:rFonts w:hint="eastAsia" w:ascii="仿宋_GB2312" w:eastAsia="仿宋_GB2312"/>
          <w:color w:val="auto"/>
          <w:spacing w:val="6"/>
          <w:szCs w:val="21"/>
          <w:highlight w:val="none"/>
        </w:rPr>
        <w:t xml:space="preserve">             </w:t>
      </w:r>
      <w:r>
        <w:rPr>
          <w:rFonts w:hint="eastAsia" w:ascii="宋体" w:hAnsi="宋体"/>
          <w:color w:val="auto"/>
          <w:szCs w:val="21"/>
          <w:highlight w:val="none"/>
        </w:rPr>
        <w:t xml:space="preserve">               供应商全称（盖章）：</w:t>
      </w: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 xml:space="preserve">                              日  期：</w:t>
      </w: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 xml:space="preserve">                              日  期：</w:t>
      </w: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spacing w:line="360" w:lineRule="auto"/>
        <w:jc w:val="center"/>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rPr>
          <w:rFonts w:ascii="宋体" w:hAnsi="宋体"/>
          <w:color w:val="auto"/>
          <w:sz w:val="32"/>
          <w:szCs w:val="32"/>
          <w:highlight w:val="none"/>
        </w:rPr>
      </w:pPr>
      <w:r>
        <w:rPr>
          <w:rFonts w:hint="eastAsia" w:ascii="宋体" w:hAnsi="宋体"/>
          <w:b/>
          <w:color w:val="auto"/>
          <w:sz w:val="32"/>
          <w:szCs w:val="32"/>
          <w:highlight w:val="none"/>
        </w:rPr>
        <w:br w:type="page"/>
      </w:r>
    </w:p>
    <w:p>
      <w:pPr>
        <w:pStyle w:val="8"/>
        <w:spacing w:line="360" w:lineRule="auto"/>
        <w:ind w:firstLine="3213" w:firstLineChars="1000"/>
        <w:jc w:val="both"/>
        <w:rPr>
          <w:rFonts w:eastAsia="仿宋_GB2312"/>
          <w:color w:val="auto"/>
          <w:sz w:val="24"/>
          <w:szCs w:val="20"/>
          <w:highlight w:val="none"/>
        </w:rPr>
      </w:pPr>
      <w:r>
        <w:rPr>
          <w:rFonts w:hint="eastAsia" w:ascii="宋体" w:hAnsi="宋体" w:eastAsia="宋体" w:cs="Times New Roman"/>
          <w:bCs w:val="0"/>
          <w:color w:val="auto"/>
          <w:sz w:val="32"/>
          <w:szCs w:val="32"/>
          <w:highlight w:val="none"/>
        </w:rPr>
        <w:t>四、</w:t>
      </w:r>
      <w:r>
        <w:rPr>
          <w:rFonts w:hint="eastAsia" w:ascii="宋体" w:hAnsi="宋体"/>
          <w:color w:val="auto"/>
          <w:sz w:val="32"/>
          <w:szCs w:val="32"/>
          <w:highlight w:val="none"/>
        </w:rPr>
        <w:t>开标一览表</w:t>
      </w:r>
    </w:p>
    <w:p>
      <w:pPr>
        <w:spacing w:line="360" w:lineRule="auto"/>
        <w:ind w:firstLine="480"/>
        <w:rPr>
          <w:color w:val="auto"/>
          <w:szCs w:val="21"/>
          <w:highlight w:val="none"/>
        </w:rPr>
      </w:pPr>
      <w:r>
        <w:rPr>
          <w:rFonts w:hint="eastAsia" w:ascii="宋体" w:hAnsi="宋体"/>
          <w:color w:val="auto"/>
          <w:szCs w:val="21"/>
          <w:highlight w:val="none"/>
        </w:rPr>
        <w:t>项目名称：</w:t>
      </w:r>
    </w:p>
    <w:p>
      <w:pPr>
        <w:spacing w:line="360" w:lineRule="auto"/>
        <w:ind w:firstLine="480"/>
        <w:rPr>
          <w:rFonts w:ascii="宋体" w:hAnsi="宋体"/>
          <w:color w:val="auto"/>
          <w:szCs w:val="21"/>
          <w:highlight w:val="none"/>
        </w:rPr>
      </w:pPr>
      <w:r>
        <w:rPr>
          <w:rFonts w:hint="eastAsia" w:ascii="宋体" w:hAnsi="宋体"/>
          <w:color w:val="auto"/>
          <w:szCs w:val="21"/>
          <w:highlight w:val="none"/>
        </w:rPr>
        <w:t>项目编号：</w:t>
      </w:r>
    </w:p>
    <w:p>
      <w:pPr>
        <w:spacing w:line="360" w:lineRule="auto"/>
        <w:ind w:firstLine="480"/>
        <w:rPr>
          <w:rFonts w:ascii="宋体" w:hAnsi="宋体"/>
          <w:color w:val="auto"/>
          <w:szCs w:val="21"/>
          <w:highlight w:val="none"/>
        </w:rPr>
      </w:pPr>
      <w:r>
        <w:rPr>
          <w:rFonts w:hint="eastAsia" w:ascii="宋体" w:hAnsi="宋体"/>
          <w:color w:val="auto"/>
          <w:szCs w:val="21"/>
          <w:highlight w:val="none"/>
        </w:rPr>
        <w:t xml:space="preserve">分包号(如有)： </w:t>
      </w:r>
    </w:p>
    <w:p>
      <w:pPr>
        <w:ind w:firstLine="480"/>
        <w:rPr>
          <w:rFonts w:ascii="宋体" w:hAnsi="宋体"/>
          <w:color w:val="auto"/>
          <w:szCs w:val="21"/>
          <w:highlight w:val="none"/>
        </w:rPr>
      </w:pPr>
      <w:r>
        <w:rPr>
          <w:rFonts w:hint="eastAsia" w:ascii="宋体" w:hAnsi="宋体"/>
          <w:color w:val="auto"/>
          <w:szCs w:val="21"/>
          <w:highlight w:val="none"/>
        </w:rPr>
        <w:t xml:space="preserve">                       </w:t>
      </w:r>
    </w:p>
    <w:tbl>
      <w:tblPr>
        <w:tblStyle w:val="20"/>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13"/>
              <w:adjustRightInd w:val="0"/>
              <w:snapToGrid w:val="0"/>
              <w:spacing w:line="30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投标服务或产品名称</w:t>
            </w:r>
          </w:p>
        </w:tc>
        <w:tc>
          <w:tcPr>
            <w:tcW w:w="6405" w:type="dxa"/>
            <w:vAlign w:val="center"/>
          </w:tcPr>
          <w:p>
            <w:pPr>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13"/>
              <w:adjustRightInd w:val="0"/>
              <w:snapToGrid w:val="0"/>
              <w:spacing w:line="300" w:lineRule="auto"/>
              <w:rPr>
                <w:rFonts w:ascii="宋体" w:hAnsi="宋体" w:eastAsia="宋体" w:cs="宋体"/>
                <w:color w:val="auto"/>
                <w:sz w:val="21"/>
                <w:szCs w:val="21"/>
                <w:highlight w:val="none"/>
              </w:rPr>
            </w:pPr>
          </w:p>
        </w:tc>
        <w:tc>
          <w:tcPr>
            <w:tcW w:w="6405" w:type="dxa"/>
            <w:vAlign w:val="center"/>
          </w:tcPr>
          <w:p>
            <w:pPr>
              <w:pStyle w:val="26"/>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大写：                       </w:t>
            </w:r>
          </w:p>
          <w:p>
            <w:pPr>
              <w:pStyle w:val="26"/>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小写：                            （人民币：元   ）</w:t>
            </w:r>
          </w:p>
        </w:tc>
      </w:tr>
    </w:tbl>
    <w:p>
      <w:pPr>
        <w:rPr>
          <w:rFonts w:ascii="宋体" w:hAnsi="宋体"/>
          <w:color w:val="auto"/>
          <w:szCs w:val="21"/>
          <w:highlight w:val="none"/>
        </w:rPr>
      </w:pPr>
    </w:p>
    <w:p>
      <w:pPr>
        <w:ind w:firstLine="480"/>
        <w:rPr>
          <w:rFonts w:ascii="宋体" w:hAnsi="宋体"/>
          <w:color w:val="auto"/>
          <w:szCs w:val="21"/>
          <w:highlight w:val="none"/>
        </w:rPr>
      </w:pPr>
      <w:r>
        <w:rPr>
          <w:rFonts w:hint="eastAsia" w:ascii="宋体" w:hAnsi="宋体"/>
          <w:color w:val="auto"/>
          <w:szCs w:val="21"/>
          <w:highlight w:val="none"/>
        </w:rPr>
        <w:t xml:space="preserve">                                              日期：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8"/>
        <w:ind w:firstLine="3213" w:firstLineChars="1000"/>
        <w:jc w:val="both"/>
        <w:rPr>
          <w:rFonts w:ascii="宋体" w:hAnsi="宋体" w:eastAsia="宋体" w:cs="Times New Roman"/>
          <w:bCs w:val="0"/>
          <w:color w:val="auto"/>
          <w:sz w:val="32"/>
          <w:szCs w:val="32"/>
          <w:highlight w:val="none"/>
        </w:rPr>
      </w:pPr>
    </w:p>
    <w:p>
      <w:pPr>
        <w:pStyle w:val="9"/>
        <w:ind w:firstLine="640"/>
        <w:rPr>
          <w:rFonts w:ascii="宋体" w:hAnsi="宋体"/>
          <w:color w:val="auto"/>
          <w:sz w:val="32"/>
          <w:szCs w:val="32"/>
          <w:highlight w:val="none"/>
        </w:rPr>
      </w:pPr>
    </w:p>
    <w:p>
      <w:pPr>
        <w:rPr>
          <w:rFonts w:ascii="宋体" w:hAnsi="宋体"/>
          <w:color w:val="auto"/>
          <w:sz w:val="32"/>
          <w:szCs w:val="32"/>
          <w:highlight w:val="none"/>
        </w:rPr>
      </w:pPr>
      <w:r>
        <w:rPr>
          <w:rFonts w:hint="eastAsia" w:ascii="宋体" w:hAnsi="宋体"/>
          <w:color w:val="auto"/>
          <w:sz w:val="32"/>
          <w:szCs w:val="32"/>
          <w:highlight w:val="none"/>
        </w:rPr>
        <w:br w:type="page"/>
      </w:r>
    </w:p>
    <w:p>
      <w:pPr>
        <w:pStyle w:val="8"/>
        <w:ind w:firstLine="3213" w:firstLineChars="1000"/>
        <w:jc w:val="both"/>
        <w:rPr>
          <w:rFonts w:ascii="宋体" w:hAnsi="宋体" w:eastAsia="宋体" w:cs="Times New Roman"/>
          <w:bCs w:val="0"/>
          <w:color w:val="auto"/>
          <w:sz w:val="32"/>
          <w:szCs w:val="32"/>
          <w:highlight w:val="none"/>
        </w:rPr>
      </w:pPr>
      <w:bookmarkStart w:id="59" w:name="_Toc113352361"/>
      <w:r>
        <w:rPr>
          <w:rFonts w:hint="eastAsia" w:ascii="宋体" w:hAnsi="宋体" w:eastAsia="宋体" w:cs="Times New Roman"/>
          <w:bCs w:val="0"/>
          <w:color w:val="auto"/>
          <w:sz w:val="32"/>
          <w:szCs w:val="32"/>
          <w:highlight w:val="none"/>
        </w:rPr>
        <w:t>五、分项报价表</w:t>
      </w:r>
      <w:bookmarkEnd w:id="59"/>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733"/>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733"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40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98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770" w:type="dxa"/>
            <w:vAlign w:val="center"/>
          </w:tcPr>
          <w:p>
            <w:pPr>
              <w:jc w:val="center"/>
              <w:rPr>
                <w:rFonts w:ascii="宋体" w:hAnsi="宋体"/>
                <w:color w:val="auto"/>
                <w:szCs w:val="21"/>
                <w:highlight w:val="none"/>
              </w:rPr>
            </w:pPr>
            <w:r>
              <w:rPr>
                <w:rFonts w:hint="eastAsia" w:ascii="宋体" w:hAnsi="宋体"/>
                <w:color w:val="auto"/>
                <w:szCs w:val="21"/>
                <w:highlight w:val="none"/>
              </w:rPr>
              <w:t>名称</w:t>
            </w:r>
          </w:p>
        </w:tc>
        <w:tc>
          <w:tcPr>
            <w:tcW w:w="173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2409" w:type="dxa"/>
            <w:vAlign w:val="center"/>
          </w:tcPr>
          <w:p>
            <w:pPr>
              <w:jc w:val="center"/>
              <w:rPr>
                <w:rFonts w:ascii="宋体" w:hAnsi="宋体"/>
                <w:color w:val="auto"/>
                <w:szCs w:val="21"/>
                <w:highlight w:val="none"/>
              </w:rPr>
            </w:pPr>
            <w:r>
              <w:rPr>
                <w:rFonts w:hint="eastAsia" w:ascii="宋体" w:hAnsi="宋体"/>
                <w:color w:val="auto"/>
                <w:szCs w:val="21"/>
                <w:highlight w:val="none"/>
              </w:rPr>
              <w:t>单价</w:t>
            </w:r>
          </w:p>
        </w:tc>
        <w:tc>
          <w:tcPr>
            <w:tcW w:w="1985" w:type="dxa"/>
            <w:vAlign w:val="center"/>
          </w:tcPr>
          <w:p>
            <w:pPr>
              <w:jc w:val="center"/>
              <w:rPr>
                <w:rFonts w:ascii="宋体" w:hAnsi="宋体"/>
                <w:color w:val="auto"/>
                <w:szCs w:val="21"/>
                <w:highlight w:val="none"/>
              </w:rPr>
            </w:pPr>
            <w:r>
              <w:rPr>
                <w:rFonts w:hint="eastAsia" w:ascii="宋体" w:hAnsi="宋体"/>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hAnsi="宋体"/>
                <w:color w:val="auto"/>
                <w:szCs w:val="21"/>
                <w:highlight w:val="none"/>
              </w:rPr>
            </w:pPr>
          </w:p>
        </w:tc>
        <w:tc>
          <w:tcPr>
            <w:tcW w:w="1733" w:type="dxa"/>
            <w:vAlign w:val="center"/>
          </w:tcPr>
          <w:p>
            <w:pPr>
              <w:rPr>
                <w:rFonts w:ascii="宋体" w:hAnsi="宋体"/>
                <w:color w:val="auto"/>
                <w:szCs w:val="21"/>
                <w:highlight w:val="none"/>
              </w:rPr>
            </w:pPr>
          </w:p>
        </w:tc>
        <w:tc>
          <w:tcPr>
            <w:tcW w:w="2409" w:type="dxa"/>
            <w:vAlign w:val="center"/>
          </w:tcPr>
          <w:p>
            <w:pPr>
              <w:rPr>
                <w:rFonts w:ascii="宋体" w:hAnsi="宋体"/>
                <w:color w:val="auto"/>
                <w:szCs w:val="21"/>
                <w:highlight w:val="none"/>
              </w:rPr>
            </w:pPr>
          </w:p>
        </w:tc>
        <w:tc>
          <w:tcPr>
            <w:tcW w:w="198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hAnsi="宋体"/>
                <w:color w:val="auto"/>
                <w:szCs w:val="21"/>
                <w:highlight w:val="none"/>
              </w:rPr>
            </w:pPr>
          </w:p>
        </w:tc>
        <w:tc>
          <w:tcPr>
            <w:tcW w:w="1733" w:type="dxa"/>
            <w:vAlign w:val="center"/>
          </w:tcPr>
          <w:p>
            <w:pPr>
              <w:rPr>
                <w:rFonts w:ascii="宋体" w:hAnsi="宋体"/>
                <w:color w:val="auto"/>
                <w:szCs w:val="21"/>
                <w:highlight w:val="none"/>
              </w:rPr>
            </w:pPr>
          </w:p>
        </w:tc>
        <w:tc>
          <w:tcPr>
            <w:tcW w:w="2409" w:type="dxa"/>
            <w:vAlign w:val="center"/>
          </w:tcPr>
          <w:p>
            <w:pPr>
              <w:rPr>
                <w:rFonts w:ascii="宋体" w:hAnsi="宋体"/>
                <w:color w:val="auto"/>
                <w:szCs w:val="21"/>
                <w:highlight w:val="none"/>
              </w:rPr>
            </w:pPr>
          </w:p>
        </w:tc>
        <w:tc>
          <w:tcPr>
            <w:tcW w:w="198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hAnsi="宋体"/>
                <w:color w:val="auto"/>
                <w:szCs w:val="21"/>
                <w:highlight w:val="none"/>
              </w:rPr>
            </w:pPr>
          </w:p>
        </w:tc>
        <w:tc>
          <w:tcPr>
            <w:tcW w:w="1733" w:type="dxa"/>
            <w:vAlign w:val="center"/>
          </w:tcPr>
          <w:p>
            <w:pPr>
              <w:rPr>
                <w:rFonts w:ascii="宋体" w:hAnsi="宋体"/>
                <w:color w:val="auto"/>
                <w:szCs w:val="21"/>
                <w:highlight w:val="none"/>
              </w:rPr>
            </w:pPr>
          </w:p>
        </w:tc>
        <w:tc>
          <w:tcPr>
            <w:tcW w:w="2409" w:type="dxa"/>
            <w:vAlign w:val="center"/>
          </w:tcPr>
          <w:p>
            <w:pPr>
              <w:rPr>
                <w:rFonts w:ascii="宋体" w:hAnsi="宋体"/>
                <w:color w:val="auto"/>
                <w:szCs w:val="21"/>
                <w:highlight w:val="none"/>
              </w:rPr>
            </w:pPr>
          </w:p>
        </w:tc>
        <w:tc>
          <w:tcPr>
            <w:tcW w:w="198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pPr>
              <w:rPr>
                <w:rFonts w:ascii="宋体" w:hAnsi="宋体"/>
                <w:color w:val="auto"/>
                <w:szCs w:val="21"/>
                <w:highlight w:val="none"/>
              </w:rPr>
            </w:pPr>
          </w:p>
        </w:tc>
        <w:tc>
          <w:tcPr>
            <w:tcW w:w="1733" w:type="dxa"/>
            <w:vAlign w:val="center"/>
          </w:tcPr>
          <w:p>
            <w:pPr>
              <w:rPr>
                <w:rFonts w:ascii="宋体" w:hAnsi="宋体"/>
                <w:color w:val="auto"/>
                <w:szCs w:val="21"/>
                <w:highlight w:val="none"/>
              </w:rPr>
            </w:pPr>
          </w:p>
        </w:tc>
        <w:tc>
          <w:tcPr>
            <w:tcW w:w="2409" w:type="dxa"/>
            <w:vAlign w:val="center"/>
          </w:tcPr>
          <w:p>
            <w:pPr>
              <w:rPr>
                <w:rFonts w:ascii="宋体" w:hAnsi="宋体"/>
                <w:color w:val="auto"/>
                <w:szCs w:val="21"/>
                <w:highlight w:val="none"/>
              </w:rPr>
            </w:pPr>
          </w:p>
        </w:tc>
        <w:tc>
          <w:tcPr>
            <w:tcW w:w="1985"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pPr>
              <w:rPr>
                <w:rFonts w:ascii="宋体" w:hAnsi="宋体"/>
                <w:color w:val="auto"/>
                <w:szCs w:val="21"/>
                <w:highlight w:val="none"/>
              </w:rPr>
            </w:pPr>
            <w:r>
              <w:rPr>
                <w:rFonts w:hint="eastAsia" w:ascii="宋体" w:hAnsi="宋体"/>
                <w:color w:val="auto"/>
                <w:szCs w:val="21"/>
                <w:highlight w:val="none"/>
              </w:rPr>
              <w:t>合计</w:t>
            </w:r>
          </w:p>
        </w:tc>
        <w:tc>
          <w:tcPr>
            <w:tcW w:w="6127" w:type="dxa"/>
            <w:gridSpan w:val="3"/>
            <w:vAlign w:val="center"/>
          </w:tcPr>
          <w:p>
            <w:pPr>
              <w:rPr>
                <w:rFonts w:ascii="宋体" w:hAnsi="宋体"/>
                <w:color w:val="auto"/>
                <w:szCs w:val="21"/>
                <w:highlight w:val="none"/>
              </w:rPr>
            </w:pPr>
          </w:p>
        </w:tc>
      </w:tr>
    </w:tbl>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widowControl/>
        <w:jc w:val="left"/>
        <w:rPr>
          <w:rFonts w:ascii="宋体" w:hAnsi="宋体" w:cs="Arial"/>
          <w:b/>
          <w:bCs/>
          <w:color w:val="auto"/>
          <w:highlight w:val="none"/>
        </w:rPr>
      </w:pPr>
    </w:p>
    <w:p>
      <w:pPr>
        <w:pStyle w:val="8"/>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六、技术参数响应及偏离表</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852" w:type="dxa"/>
            <w:vAlign w:val="center"/>
          </w:tcPr>
          <w:p>
            <w:pPr>
              <w:jc w:val="center"/>
              <w:rPr>
                <w:rFonts w:ascii="宋体" w:hAnsi="宋体"/>
                <w:color w:val="auto"/>
                <w:szCs w:val="21"/>
                <w:highlight w:val="none"/>
              </w:rPr>
            </w:pPr>
            <w:r>
              <w:rPr>
                <w:rFonts w:hint="eastAsia" w:ascii="宋体" w:hAnsi="宋体"/>
                <w:color w:val="auto"/>
                <w:szCs w:val="21"/>
                <w:highlight w:val="none"/>
              </w:rPr>
              <w:t>招标要求</w:t>
            </w:r>
          </w:p>
        </w:tc>
        <w:tc>
          <w:tcPr>
            <w:tcW w:w="2852" w:type="dxa"/>
            <w:vAlign w:val="center"/>
          </w:tcPr>
          <w:p>
            <w:pPr>
              <w:jc w:val="center"/>
              <w:rPr>
                <w:rFonts w:ascii="宋体" w:hAnsi="宋体"/>
                <w:color w:val="auto"/>
                <w:szCs w:val="21"/>
                <w:highlight w:val="none"/>
              </w:rPr>
            </w:pPr>
            <w:r>
              <w:rPr>
                <w:rFonts w:hint="eastAsia" w:ascii="宋体" w:hAnsi="宋体"/>
                <w:color w:val="auto"/>
                <w:szCs w:val="21"/>
                <w:highlight w:val="none"/>
              </w:rPr>
              <w:t>投标响应</w:t>
            </w:r>
          </w:p>
        </w:tc>
        <w:tc>
          <w:tcPr>
            <w:tcW w:w="1308" w:type="dxa"/>
            <w:vAlign w:val="center"/>
          </w:tcPr>
          <w:p>
            <w:pPr>
              <w:jc w:val="center"/>
              <w:rPr>
                <w:rFonts w:ascii="宋体" w:hAnsi="宋体"/>
                <w:color w:val="auto"/>
                <w:szCs w:val="21"/>
                <w:highlight w:val="none"/>
              </w:rPr>
            </w:pPr>
            <w:r>
              <w:rPr>
                <w:rFonts w:hint="eastAsia" w:ascii="宋体" w:hAnsi="宋体"/>
                <w:color w:val="auto"/>
                <w:szCs w:val="21"/>
                <w:highlight w:val="none"/>
              </w:rPr>
              <w:t>超出、符合或偏离</w:t>
            </w:r>
          </w:p>
        </w:tc>
        <w:tc>
          <w:tcPr>
            <w:tcW w:w="1173" w:type="dxa"/>
            <w:vAlign w:val="center"/>
          </w:tcPr>
          <w:p>
            <w:pPr>
              <w:jc w:val="center"/>
              <w:rPr>
                <w:rFonts w:ascii="宋体" w:hAnsi="宋体"/>
                <w:color w:val="auto"/>
                <w:szCs w:val="21"/>
                <w:highlight w:val="none"/>
              </w:rPr>
            </w:pPr>
            <w:r>
              <w:rPr>
                <w:rFonts w:hint="eastAsia" w:ascii="宋体" w:hAnsi="宋体"/>
                <w:color w:val="auto"/>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2852" w:type="dxa"/>
          </w:tcPr>
          <w:p>
            <w:pPr>
              <w:jc w:val="center"/>
              <w:rPr>
                <w:rFonts w:ascii="宋体" w:hAnsi="宋体"/>
                <w:color w:val="auto"/>
                <w:szCs w:val="21"/>
                <w:highlight w:val="none"/>
              </w:rPr>
            </w:pPr>
          </w:p>
        </w:tc>
        <w:tc>
          <w:tcPr>
            <w:tcW w:w="1308" w:type="dxa"/>
          </w:tcPr>
          <w:p>
            <w:pPr>
              <w:jc w:val="center"/>
              <w:rPr>
                <w:rFonts w:ascii="宋体" w:hAnsi="宋体"/>
                <w:color w:val="auto"/>
                <w:szCs w:val="21"/>
                <w:highlight w:val="none"/>
              </w:rPr>
            </w:pPr>
          </w:p>
        </w:tc>
        <w:tc>
          <w:tcPr>
            <w:tcW w:w="1173" w:type="dxa"/>
          </w:tcPr>
          <w:p>
            <w:pPr>
              <w:jc w:val="center"/>
              <w:rPr>
                <w:rFonts w:ascii="宋体" w:hAnsi="宋体"/>
                <w:color w:val="auto"/>
                <w:szCs w:val="21"/>
                <w:highlight w:val="none"/>
              </w:rPr>
            </w:pPr>
          </w:p>
        </w:tc>
      </w:tr>
    </w:tbl>
    <w:p>
      <w:pPr>
        <w:spacing w:line="360" w:lineRule="auto"/>
        <w:rPr>
          <w:rFonts w:ascii="宋体" w:hAnsi="宋体"/>
          <w:i/>
          <w:iCs/>
          <w:color w:val="auto"/>
          <w:sz w:val="24"/>
          <w:szCs w:val="24"/>
          <w:highlight w:val="none"/>
          <w:u w:val="single"/>
        </w:rPr>
      </w:pPr>
      <w:r>
        <w:rPr>
          <w:rFonts w:hint="eastAsia" w:ascii="宋体" w:hAnsi="宋体"/>
          <w:i/>
          <w:iCs/>
          <w:color w:val="auto"/>
          <w:sz w:val="24"/>
          <w:szCs w:val="24"/>
          <w:highlight w:val="none"/>
          <w:u w:val="single"/>
        </w:rPr>
        <w:t>注：1、按照第四章技术要求逐条详细填列。</w:t>
      </w:r>
    </w:p>
    <w:p>
      <w:pPr>
        <w:spacing w:line="360" w:lineRule="auto"/>
        <w:ind w:firstLine="480" w:firstLineChars="200"/>
        <w:rPr>
          <w:rFonts w:ascii="宋体" w:hAnsi="宋体"/>
          <w:i/>
          <w:iCs/>
          <w:color w:val="auto"/>
          <w:sz w:val="24"/>
          <w:szCs w:val="24"/>
          <w:highlight w:val="none"/>
          <w:u w:val="single"/>
        </w:rPr>
      </w:pPr>
      <w:r>
        <w:rPr>
          <w:rFonts w:hint="eastAsia" w:ascii="宋体" w:hAnsi="宋体"/>
          <w:i/>
          <w:iCs/>
          <w:color w:val="auto"/>
          <w:sz w:val="24"/>
          <w:szCs w:val="24"/>
          <w:highlight w:val="none"/>
          <w:u w:val="single"/>
        </w:rPr>
        <w:t>2、行数不够，可自行添加。</w:t>
      </w:r>
    </w:p>
    <w:p>
      <w:pPr>
        <w:jc w:val="center"/>
        <w:rPr>
          <w:rFonts w:ascii="黑体" w:hAnsi="Arial" w:eastAsia="黑体"/>
          <w:b/>
          <w:color w:val="auto"/>
          <w:sz w:val="36"/>
          <w:highlight w:val="none"/>
        </w:rPr>
      </w:pPr>
    </w:p>
    <w:p>
      <w:pPr>
        <w:jc w:val="center"/>
        <w:rPr>
          <w:rFonts w:ascii="黑体" w:hAnsi="Arial" w:eastAsia="黑体"/>
          <w:b/>
          <w:color w:val="auto"/>
          <w:sz w:val="36"/>
          <w:highlight w:val="none"/>
        </w:rPr>
      </w:pPr>
    </w:p>
    <w:p>
      <w:pPr>
        <w:jc w:val="center"/>
        <w:rPr>
          <w:rFonts w:ascii="黑体" w:hAnsi="Arial" w:eastAsia="黑体"/>
          <w:b/>
          <w:color w:val="auto"/>
          <w:sz w:val="36"/>
          <w:highlight w:val="none"/>
        </w:rPr>
      </w:pPr>
    </w:p>
    <w:p>
      <w:pPr>
        <w:jc w:val="center"/>
        <w:rPr>
          <w:rFonts w:ascii="黑体" w:hAnsi="Arial" w:eastAsia="黑体"/>
          <w:b/>
          <w:color w:val="auto"/>
          <w:sz w:val="36"/>
          <w:highlight w:val="none"/>
        </w:rPr>
      </w:pPr>
    </w:p>
    <w:p>
      <w:pPr>
        <w:rPr>
          <w:rFonts w:ascii="黑体" w:hAnsi="Arial" w:eastAsia="黑体"/>
          <w:color w:val="auto"/>
          <w:sz w:val="32"/>
          <w:highlight w:val="none"/>
        </w:rPr>
      </w:pPr>
    </w:p>
    <w:p>
      <w:pPr>
        <w:rPr>
          <w:rFonts w:ascii="黑体" w:hAnsi="Arial" w:eastAsia="黑体"/>
          <w:color w:val="auto"/>
          <w:sz w:val="32"/>
          <w:highlight w:val="none"/>
        </w:rPr>
      </w:pPr>
    </w:p>
    <w:p>
      <w:pPr>
        <w:rPr>
          <w:rFonts w:ascii="黑体" w:hAnsi="Arial" w:eastAsia="黑体"/>
          <w:color w:val="auto"/>
          <w:sz w:val="32"/>
          <w:highlight w:val="none"/>
        </w:rPr>
      </w:pPr>
      <w:r>
        <w:rPr>
          <w:rFonts w:hint="eastAsia" w:ascii="黑体" w:hAnsi="Arial" w:eastAsia="黑体"/>
          <w:color w:val="auto"/>
          <w:sz w:val="32"/>
          <w:highlight w:val="none"/>
        </w:rPr>
        <w:br w:type="page"/>
      </w:r>
    </w:p>
    <w:p>
      <w:pPr>
        <w:pStyle w:val="8"/>
        <w:rPr>
          <w:rFonts w:ascii="宋体" w:hAnsi="宋体" w:eastAsia="宋体" w:cs="Times New Roman"/>
          <w:bCs w:val="0"/>
          <w:color w:val="auto"/>
          <w:sz w:val="32"/>
          <w:szCs w:val="32"/>
          <w:highlight w:val="none"/>
        </w:rPr>
      </w:pPr>
      <w:bookmarkStart w:id="60" w:name="_Hlt26955054"/>
      <w:bookmarkEnd w:id="60"/>
      <w:bookmarkStart w:id="61" w:name="_Toc113352363"/>
      <w:r>
        <w:rPr>
          <w:rFonts w:hint="eastAsia" w:ascii="宋体" w:hAnsi="宋体" w:eastAsia="宋体" w:cs="Times New Roman"/>
          <w:bCs w:val="0"/>
          <w:color w:val="auto"/>
          <w:sz w:val="32"/>
          <w:szCs w:val="32"/>
          <w:highlight w:val="none"/>
        </w:rPr>
        <w:t>七、商务条款响应及偏离表</w:t>
      </w:r>
      <w:bookmarkEnd w:id="61"/>
    </w:p>
    <w:tbl>
      <w:tblPr>
        <w:tblStyle w:val="20"/>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r>
              <w:rPr>
                <w:rFonts w:hint="eastAsia" w:ascii="仿宋_GB2312" w:hAnsi="宋体"/>
                <w:color w:val="auto"/>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r>
              <w:rPr>
                <w:rFonts w:hint="eastAsia" w:ascii="仿宋_GB2312" w:hAnsi="宋体"/>
                <w:color w:val="auto"/>
                <w:szCs w:val="21"/>
                <w:highlight w:val="none"/>
              </w:rPr>
              <w:t>招标文件要求</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r>
              <w:rPr>
                <w:rFonts w:hint="eastAsia" w:ascii="仿宋_GB2312" w:hAnsi="宋体"/>
                <w:color w:val="auto"/>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r>
              <w:rPr>
                <w:rFonts w:hint="eastAsia" w:ascii="仿宋_GB2312"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olor w:val="auto"/>
                <w:szCs w:val="21"/>
                <w:highlight w:val="none"/>
              </w:rPr>
            </w:pPr>
          </w:p>
        </w:tc>
      </w:tr>
    </w:tbl>
    <w:p>
      <w:pPr>
        <w:spacing w:line="360" w:lineRule="auto"/>
        <w:rPr>
          <w:rFonts w:ascii="宋体" w:hAnsi="宋体"/>
          <w:i/>
          <w:iCs/>
          <w:color w:val="auto"/>
          <w:sz w:val="24"/>
          <w:szCs w:val="24"/>
          <w:highlight w:val="none"/>
          <w:u w:val="single"/>
        </w:rPr>
      </w:pPr>
      <w:bookmarkStart w:id="62" w:name="_Hlt26609389"/>
      <w:bookmarkEnd w:id="62"/>
      <w:bookmarkStart w:id="63" w:name="_Hlt26671374"/>
      <w:bookmarkEnd w:id="63"/>
      <w:bookmarkStart w:id="64" w:name="_Hlt26955066"/>
      <w:bookmarkEnd w:id="64"/>
      <w:bookmarkStart w:id="65" w:name="_Toc462564146"/>
      <w:r>
        <w:rPr>
          <w:rFonts w:hint="eastAsia" w:ascii="宋体" w:hAnsi="宋体"/>
          <w:i/>
          <w:iCs/>
          <w:color w:val="auto"/>
          <w:sz w:val="24"/>
          <w:szCs w:val="24"/>
          <w:highlight w:val="none"/>
          <w:u w:val="single"/>
        </w:rPr>
        <w:t>注：1、按照第四章技术要求逐条详细填列。</w:t>
      </w:r>
    </w:p>
    <w:p>
      <w:pPr>
        <w:spacing w:line="360" w:lineRule="auto"/>
        <w:ind w:firstLine="480" w:firstLineChars="200"/>
        <w:rPr>
          <w:rFonts w:ascii="宋体" w:hAnsi="宋体"/>
          <w:i/>
          <w:iCs/>
          <w:color w:val="auto"/>
          <w:sz w:val="24"/>
          <w:szCs w:val="24"/>
          <w:highlight w:val="none"/>
          <w:u w:val="single"/>
        </w:rPr>
      </w:pPr>
      <w:r>
        <w:rPr>
          <w:rFonts w:hint="eastAsia" w:ascii="宋体" w:hAnsi="宋体"/>
          <w:i/>
          <w:iCs/>
          <w:color w:val="auto"/>
          <w:sz w:val="24"/>
          <w:szCs w:val="24"/>
          <w:highlight w:val="none"/>
          <w:u w:val="single"/>
        </w:rPr>
        <w:t>2、行数不够，可自行添加。</w:t>
      </w: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r>
        <w:rPr>
          <w:rFonts w:hint="eastAsia" w:ascii="宋体" w:hAnsi="宋体"/>
          <w:color w:val="auto"/>
          <w:sz w:val="24"/>
          <w:highlight w:val="none"/>
        </w:rPr>
        <w:t>.</w:t>
      </w: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p>
      <w:pPr>
        <w:pStyle w:val="9"/>
        <w:ind w:firstLine="480"/>
        <w:rPr>
          <w:rFonts w:ascii="宋体" w:hAnsi="宋体"/>
          <w:color w:val="auto"/>
          <w:sz w:val="24"/>
          <w:highlight w:val="none"/>
        </w:rPr>
      </w:pPr>
    </w:p>
    <w:bookmarkEnd w:id="65"/>
    <w:p>
      <w:pPr>
        <w:widowControl/>
        <w:jc w:val="left"/>
        <w:rPr>
          <w:rFonts w:ascii="宋体" w:hAnsi="宋体"/>
          <w:b/>
          <w:color w:val="auto"/>
          <w:highlight w:val="none"/>
        </w:rPr>
      </w:pPr>
      <w:bookmarkStart w:id="66" w:name="_格式2__法定代表人授权书"/>
      <w:bookmarkEnd w:id="66"/>
      <w:r>
        <w:rPr>
          <w:rFonts w:ascii="宋体" w:hAnsi="宋体"/>
          <w:b/>
          <w:color w:val="auto"/>
          <w:highlight w:val="none"/>
        </w:rPr>
        <w:br w:type="page"/>
      </w:r>
    </w:p>
    <w:p>
      <w:pPr>
        <w:spacing w:before="312" w:beforeLines="100" w:line="360" w:lineRule="auto"/>
        <w:jc w:val="center"/>
        <w:rPr>
          <w:rFonts w:ascii="宋体" w:hAnsi="宋体"/>
          <w:b/>
          <w:color w:val="auto"/>
          <w:highlight w:val="none"/>
        </w:rPr>
      </w:pPr>
      <w:r>
        <w:rPr>
          <w:rFonts w:hint="eastAsia" w:ascii="宋体" w:hAnsi="宋体"/>
          <w:b/>
          <w:color w:val="auto"/>
          <w:highlight w:val="none"/>
        </w:rPr>
        <w:t>主要标的信息（中标后将公示）</w:t>
      </w:r>
    </w:p>
    <w:p>
      <w:pPr>
        <w:spacing w:after="312" w:afterLines="100" w:line="360" w:lineRule="auto"/>
        <w:rPr>
          <w:rFonts w:ascii="宋体" w:hAnsi="宋体"/>
          <w:b/>
          <w:color w:val="auto"/>
          <w:highlight w:val="none"/>
        </w:rPr>
      </w:pPr>
      <w:r>
        <w:rPr>
          <w:rFonts w:hint="eastAsia" w:ascii="宋体" w:hAnsi="宋体"/>
          <w:color w:val="auto"/>
          <w:highlight w:val="none"/>
        </w:rPr>
        <w:t>投标人全称：</w:t>
      </w:r>
    </w:p>
    <w:tbl>
      <w:tblPr>
        <w:tblStyle w:val="20"/>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pPr>
              <w:jc w:val="center"/>
              <w:rPr>
                <w:rFonts w:ascii="宋体" w:hAnsi="宋体" w:cs="宋体"/>
                <w:color w:val="auto"/>
                <w:kern w:val="0"/>
                <w:highlight w:val="none"/>
              </w:rPr>
            </w:pPr>
            <w:r>
              <w:rPr>
                <w:rFonts w:hint="eastAsia" w:ascii="宋体" w:hAnsi="宋体" w:cs="宋体"/>
                <w:color w:val="auto"/>
                <w:kern w:val="0"/>
                <w:highlight w:val="none"/>
              </w:rPr>
              <w:t>货物类</w:t>
            </w:r>
          </w:p>
        </w:tc>
        <w:tc>
          <w:tcPr>
            <w:tcW w:w="3780" w:type="dxa"/>
          </w:tcPr>
          <w:p>
            <w:pPr>
              <w:jc w:val="center"/>
              <w:rPr>
                <w:rFonts w:ascii="宋体" w:hAnsi="宋体" w:cs="宋体"/>
                <w:color w:val="auto"/>
                <w:kern w:val="0"/>
                <w:highlight w:val="none"/>
              </w:rPr>
            </w:pPr>
            <w:r>
              <w:rPr>
                <w:rFonts w:hint="eastAsia" w:ascii="宋体" w:hAnsi="宋体" w:cs="宋体"/>
                <w:color w:val="auto"/>
                <w:kern w:val="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tcPr>
          <w:p>
            <w:pPr>
              <w:spacing w:line="360" w:lineRule="auto"/>
              <w:rPr>
                <w:rFonts w:ascii="宋体" w:hAnsi="宋体" w:cs="宋体"/>
                <w:color w:val="auto"/>
                <w:kern w:val="0"/>
                <w:highlight w:val="none"/>
              </w:rPr>
            </w:pPr>
            <w:r>
              <w:rPr>
                <w:rFonts w:hint="eastAsia" w:ascii="宋体" w:hAnsi="宋体" w:cs="宋体"/>
                <w:color w:val="auto"/>
                <w:kern w:val="0"/>
                <w:highlight w:val="none"/>
              </w:rPr>
              <w:t>名称：</w:t>
            </w:r>
          </w:p>
          <w:p>
            <w:pPr>
              <w:spacing w:line="360" w:lineRule="auto"/>
              <w:rPr>
                <w:rFonts w:ascii="宋体" w:hAnsi="宋体" w:cs="宋体"/>
                <w:color w:val="auto"/>
                <w:kern w:val="0"/>
                <w:highlight w:val="none"/>
              </w:rPr>
            </w:pPr>
            <w:r>
              <w:rPr>
                <w:rFonts w:hint="eastAsia" w:ascii="宋体" w:hAnsi="宋体" w:cs="宋体"/>
                <w:color w:val="auto"/>
                <w:kern w:val="0"/>
                <w:highlight w:val="none"/>
              </w:rPr>
              <w:t>品牌（如有）：</w:t>
            </w:r>
          </w:p>
          <w:p>
            <w:pPr>
              <w:spacing w:line="360" w:lineRule="auto"/>
              <w:rPr>
                <w:rFonts w:ascii="宋体" w:hAnsi="宋体" w:cs="宋体"/>
                <w:color w:val="auto"/>
                <w:kern w:val="0"/>
                <w:highlight w:val="none"/>
              </w:rPr>
            </w:pPr>
            <w:r>
              <w:rPr>
                <w:rFonts w:hint="eastAsia" w:ascii="宋体" w:hAnsi="宋体" w:cs="宋体"/>
                <w:color w:val="auto"/>
                <w:kern w:val="0"/>
                <w:highlight w:val="none"/>
              </w:rPr>
              <w:t>规格型号：</w:t>
            </w:r>
          </w:p>
          <w:p>
            <w:pPr>
              <w:spacing w:line="360" w:lineRule="auto"/>
              <w:rPr>
                <w:rFonts w:ascii="宋体" w:hAnsi="宋体" w:cs="宋体"/>
                <w:color w:val="auto"/>
                <w:kern w:val="0"/>
                <w:highlight w:val="none"/>
              </w:rPr>
            </w:pPr>
            <w:r>
              <w:rPr>
                <w:rFonts w:hint="eastAsia" w:ascii="宋体" w:hAnsi="宋体" w:cs="宋体"/>
                <w:color w:val="auto"/>
                <w:kern w:val="0"/>
                <w:highlight w:val="none"/>
              </w:rPr>
              <w:t>数量：</w:t>
            </w:r>
          </w:p>
          <w:p>
            <w:pPr>
              <w:spacing w:line="360" w:lineRule="auto"/>
              <w:rPr>
                <w:rFonts w:ascii="宋体" w:hAnsi="宋体" w:cs="宋体"/>
                <w:color w:val="auto"/>
                <w:kern w:val="0"/>
                <w:highlight w:val="none"/>
              </w:rPr>
            </w:pPr>
            <w:r>
              <w:rPr>
                <w:rFonts w:hint="eastAsia" w:ascii="宋体" w:hAnsi="宋体" w:cs="宋体"/>
                <w:color w:val="auto"/>
                <w:kern w:val="0"/>
                <w:highlight w:val="none"/>
              </w:rPr>
              <w:t>单价：</w:t>
            </w:r>
          </w:p>
        </w:tc>
        <w:tc>
          <w:tcPr>
            <w:tcW w:w="3780" w:type="dxa"/>
          </w:tcPr>
          <w:p>
            <w:pPr>
              <w:spacing w:line="360" w:lineRule="auto"/>
              <w:rPr>
                <w:rFonts w:ascii="宋体" w:hAnsi="宋体" w:cs="宋体"/>
                <w:color w:val="auto"/>
                <w:kern w:val="0"/>
                <w:highlight w:val="none"/>
              </w:rPr>
            </w:pPr>
            <w:r>
              <w:rPr>
                <w:rFonts w:hint="eastAsia" w:ascii="宋体" w:hAnsi="宋体" w:cs="宋体"/>
                <w:color w:val="auto"/>
                <w:kern w:val="0"/>
                <w:highlight w:val="none"/>
              </w:rPr>
              <w:t>名称：</w:t>
            </w:r>
          </w:p>
          <w:p>
            <w:pPr>
              <w:spacing w:line="360" w:lineRule="auto"/>
              <w:rPr>
                <w:rFonts w:ascii="宋体" w:hAnsi="宋体" w:cs="宋体"/>
                <w:color w:val="auto"/>
                <w:kern w:val="0"/>
                <w:highlight w:val="none"/>
              </w:rPr>
            </w:pPr>
            <w:r>
              <w:rPr>
                <w:rFonts w:hint="eastAsia" w:ascii="宋体" w:hAnsi="宋体" w:cs="宋体"/>
                <w:color w:val="auto"/>
                <w:kern w:val="0"/>
                <w:highlight w:val="none"/>
              </w:rPr>
              <w:t>服务范围：</w:t>
            </w:r>
          </w:p>
          <w:p>
            <w:pPr>
              <w:spacing w:line="360" w:lineRule="auto"/>
              <w:rPr>
                <w:rFonts w:ascii="宋体" w:hAnsi="宋体" w:cs="宋体"/>
                <w:color w:val="auto"/>
                <w:kern w:val="0"/>
                <w:highlight w:val="none"/>
                <w:u w:val="single"/>
              </w:rPr>
            </w:pPr>
            <w:r>
              <w:rPr>
                <w:rFonts w:hint="eastAsia" w:ascii="宋体" w:hAnsi="宋体" w:cs="宋体"/>
                <w:color w:val="auto"/>
                <w:kern w:val="0"/>
                <w:highlight w:val="none"/>
              </w:rPr>
              <w:t>服务要求：</w:t>
            </w:r>
          </w:p>
          <w:p>
            <w:pPr>
              <w:spacing w:line="360" w:lineRule="auto"/>
              <w:rPr>
                <w:rFonts w:ascii="宋体" w:hAnsi="宋体" w:cs="宋体"/>
                <w:color w:val="auto"/>
                <w:kern w:val="0"/>
                <w:highlight w:val="none"/>
                <w:u w:val="single"/>
              </w:rPr>
            </w:pPr>
            <w:r>
              <w:rPr>
                <w:rFonts w:hint="eastAsia" w:ascii="宋体" w:hAnsi="宋体" w:cs="宋体"/>
                <w:color w:val="auto"/>
                <w:kern w:val="0"/>
                <w:highlight w:val="none"/>
              </w:rPr>
              <w:t>服务时间：</w:t>
            </w:r>
          </w:p>
          <w:p>
            <w:pPr>
              <w:spacing w:line="360" w:lineRule="auto"/>
              <w:rPr>
                <w:rFonts w:ascii="宋体" w:hAnsi="宋体" w:cs="宋体"/>
                <w:color w:val="auto"/>
                <w:kern w:val="0"/>
                <w:highlight w:val="none"/>
              </w:rPr>
            </w:pPr>
            <w:r>
              <w:rPr>
                <w:rFonts w:hint="eastAsia" w:ascii="宋体" w:hAnsi="宋体" w:cs="宋体"/>
                <w:color w:val="auto"/>
                <w:kern w:val="0"/>
                <w:highlight w:val="none"/>
              </w:rPr>
              <w:t>服务标准：</w:t>
            </w:r>
          </w:p>
        </w:tc>
      </w:tr>
    </w:tbl>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spacing w:line="360" w:lineRule="auto"/>
        <w:ind w:firstLine="211" w:firstLineChars="100"/>
        <w:jc w:val="center"/>
        <w:rPr>
          <w:rFonts w:ascii="宋体" w:hAnsi="宋体"/>
          <w:b/>
          <w:color w:val="auto"/>
          <w:highlight w:val="none"/>
        </w:rPr>
      </w:pPr>
      <w:r>
        <w:rPr>
          <w:rFonts w:hint="eastAsia" w:ascii="宋体" w:hAnsi="宋体"/>
          <w:b/>
          <w:color w:val="auto"/>
          <w:highlight w:val="none"/>
        </w:rPr>
        <w:t>联合体协议（如有）</w:t>
      </w:r>
    </w:p>
    <w:p>
      <w:pPr>
        <w:spacing w:line="360" w:lineRule="auto"/>
        <w:ind w:firstLine="211" w:firstLineChars="100"/>
        <w:jc w:val="center"/>
        <w:rPr>
          <w:rFonts w:ascii="宋体" w:hAnsi="宋体"/>
          <w:b/>
          <w:color w:val="auto"/>
          <w:highlight w:val="none"/>
        </w:rPr>
      </w:pPr>
    </w:p>
    <w:p>
      <w:pPr>
        <w:spacing w:line="360" w:lineRule="auto"/>
        <w:rPr>
          <w:rFonts w:ascii="宋体" w:hAnsi="宋体"/>
          <w:color w:val="auto"/>
          <w:highlight w:val="none"/>
        </w:rPr>
      </w:pPr>
      <w:r>
        <w:rPr>
          <w:rFonts w:hint="eastAsia" w:ascii="宋体" w:hAnsi="宋体"/>
          <w:color w:val="auto"/>
          <w:highlight w:val="none"/>
        </w:rPr>
        <w:t>（联合体中各供应商全称）在此达成以下协议：</w:t>
      </w:r>
    </w:p>
    <w:p>
      <w:pPr>
        <w:spacing w:line="360" w:lineRule="auto"/>
        <w:ind w:firstLine="645"/>
        <w:rPr>
          <w:rFonts w:ascii="宋体" w:hAnsi="宋体"/>
          <w:color w:val="auto"/>
          <w:highlight w:val="none"/>
        </w:rPr>
      </w:pPr>
      <w:r>
        <w:rPr>
          <w:rFonts w:hint="eastAsia" w:ascii="宋体" w:hAnsi="宋体"/>
          <w:color w:val="auto"/>
          <w:highlight w:val="none"/>
        </w:rPr>
        <w:t>1、我们自愿组成联合体，参加（代理机构）的采购编号为</w:t>
      </w:r>
      <w:r>
        <w:rPr>
          <w:rFonts w:hint="eastAsia" w:ascii="宋体" w:hAnsi="宋体"/>
          <w:color w:val="auto"/>
          <w:highlight w:val="none"/>
        </w:rPr>
        <w:t>（项目编号）</w:t>
      </w:r>
      <w:r>
        <w:rPr>
          <w:rFonts w:hint="eastAsia" w:ascii="宋体" w:hAnsi="宋体"/>
          <w:color w:val="auto"/>
          <w:highlight w:val="none"/>
        </w:rPr>
        <w:t>（项目全称）的政府采购活动。</w:t>
      </w:r>
    </w:p>
    <w:p>
      <w:pPr>
        <w:spacing w:line="360" w:lineRule="auto"/>
        <w:ind w:firstLine="645"/>
        <w:rPr>
          <w:rFonts w:ascii="宋体" w:hAnsi="宋体"/>
          <w:color w:val="auto"/>
          <w:highlight w:val="none"/>
        </w:rPr>
      </w:pPr>
      <w:r>
        <w:rPr>
          <w:rFonts w:hint="eastAsia" w:ascii="宋体" w:hAnsi="宋体"/>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spacing w:line="360" w:lineRule="auto"/>
        <w:ind w:firstLine="645"/>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highlight w:val="none"/>
        </w:rPr>
        <w:t xml:space="preserve"> </w:t>
      </w:r>
    </w:p>
    <w:p>
      <w:pPr>
        <w:spacing w:line="360" w:lineRule="auto"/>
        <w:ind w:firstLine="4620" w:firstLineChars="2200"/>
        <w:rPr>
          <w:rFonts w:ascii="宋体" w:hAnsi="宋体"/>
          <w:color w:val="auto"/>
          <w:highlight w:val="none"/>
        </w:rPr>
      </w:pPr>
      <w:r>
        <w:rPr>
          <w:rFonts w:hint="eastAsia" w:ascii="宋体" w:hAnsi="宋体"/>
          <w:color w:val="auto"/>
          <w:highlight w:val="none"/>
        </w:rPr>
        <w:t>所有供应商全称：</w:t>
      </w:r>
    </w:p>
    <w:p>
      <w:pPr>
        <w:spacing w:line="360" w:lineRule="auto"/>
        <w:ind w:firstLine="645"/>
        <w:rPr>
          <w:rFonts w:ascii="宋体" w:hAnsi="宋体"/>
          <w:color w:val="auto"/>
          <w:highlight w:val="none"/>
        </w:rPr>
      </w:pPr>
      <w:r>
        <w:rPr>
          <w:rFonts w:hint="eastAsia" w:ascii="宋体" w:hAnsi="宋体"/>
          <w:color w:val="auto"/>
          <w:highlight w:val="none"/>
        </w:rPr>
        <w:t xml:space="preserve">                                      法定代表人：  </w:t>
      </w:r>
    </w:p>
    <w:p>
      <w:pPr>
        <w:spacing w:line="360" w:lineRule="auto"/>
        <w:ind w:firstLine="4620" w:firstLineChars="2200"/>
        <w:rPr>
          <w:rFonts w:ascii="宋体" w:hAnsi="宋体"/>
          <w:color w:val="auto"/>
          <w:highlight w:val="none"/>
        </w:rPr>
      </w:pPr>
      <w:r>
        <w:rPr>
          <w:rFonts w:hint="eastAsia" w:ascii="宋体" w:hAnsi="宋体"/>
          <w:color w:val="auto"/>
          <w:highlight w:val="none"/>
        </w:rPr>
        <w:t>日期：</w:t>
      </w:r>
    </w:p>
    <w:p>
      <w:pPr>
        <w:rPr>
          <w:color w:val="auto"/>
          <w:highlight w:val="none"/>
        </w:rPr>
      </w:pPr>
    </w:p>
    <w:p>
      <w:pPr>
        <w:widowControl/>
        <w:spacing w:before="100" w:beforeAutospacing="1" w:after="143"/>
        <w:jc w:val="left"/>
        <w:rPr>
          <w:rFonts w:ascii="宋体" w:hAnsi="宋体" w:cs="宋体"/>
          <w:color w:val="auto"/>
          <w:kern w:val="0"/>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21</w:t>
    </w:r>
    <w:r>
      <w:rPr>
        <w:lang w:val="zh-CN"/>
      </w:rPr>
      <w:fldChar w:fldCharType="end"/>
    </w:r>
  </w:p>
  <w:p>
    <w:pPr>
      <w:pStyle w:val="16"/>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50</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cs="宋体"/>
      </w:rPr>
      <w:t>JSZC-321081-HWZX-G2023-0489</w:t>
    </w:r>
    <w:r>
      <w:rPr>
        <w:rFonts w:hint="eastAsia" w:ascii="宋体" w:hAnsi="宋体" w:cs="宋体"/>
      </w:rPr>
      <w:tab/>
    </w:r>
    <w:r>
      <w:rPr>
        <w:rFonts w:hint="eastAsia"/>
      </w:rPr>
      <w:t xml:space="preserve">                                 江苏海外集团国际工程咨询有限公司</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JSZC-321081-HWZX-G2023-0489</w:t>
    </w:r>
    <w:r>
      <w:tab/>
    </w:r>
    <w:r>
      <w:rPr>
        <w:rFonts w:hint="eastAsia"/>
      </w:rPr>
      <w:t xml:space="preserve">                                 江苏海外集团国际工程咨询有限公司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4B8C"/>
    <w:multiLevelType w:val="singleLevel"/>
    <w:tmpl w:val="923D4B8C"/>
    <w:lvl w:ilvl="0" w:tentative="0">
      <w:start w:val="32"/>
      <w:numFmt w:val="decimal"/>
      <w:suff w:val="nothing"/>
      <w:lvlText w:val="%1、"/>
      <w:lvlJc w:val="left"/>
    </w:lvl>
  </w:abstractNum>
  <w:abstractNum w:abstractNumId="1">
    <w:nsid w:val="49828453"/>
    <w:multiLevelType w:val="singleLevel"/>
    <w:tmpl w:val="49828453"/>
    <w:lvl w:ilvl="0" w:tentative="0">
      <w:start w:val="4"/>
      <w:numFmt w:val="chineseCounting"/>
      <w:suff w:val="space"/>
      <w:lvlText w:val="第%1章"/>
      <w:lvlJc w:val="left"/>
      <w:rPr>
        <w:rFonts w:hint="eastAsia"/>
      </w:rPr>
    </w:lvl>
  </w:abstractNum>
  <w:abstractNum w:abstractNumId="2">
    <w:nsid w:val="78389B64"/>
    <w:multiLevelType w:val="singleLevel"/>
    <w:tmpl w:val="78389B64"/>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NjhhZTJhMzQ4ZGQ0MGZkYjgwMjI2ZTc4MjlmNjIifQ=="/>
  </w:docVars>
  <w:rsids>
    <w:rsidRoot w:val="00C93106"/>
    <w:rsid w:val="0000719D"/>
    <w:rsid w:val="00013843"/>
    <w:rsid w:val="000B432E"/>
    <w:rsid w:val="000C255C"/>
    <w:rsid w:val="00105F0E"/>
    <w:rsid w:val="00151328"/>
    <w:rsid w:val="00151705"/>
    <w:rsid w:val="001668C1"/>
    <w:rsid w:val="0018653A"/>
    <w:rsid w:val="001A68C8"/>
    <w:rsid w:val="0031611E"/>
    <w:rsid w:val="00330DD0"/>
    <w:rsid w:val="00336E87"/>
    <w:rsid w:val="0034727E"/>
    <w:rsid w:val="00365C12"/>
    <w:rsid w:val="00370764"/>
    <w:rsid w:val="003729A8"/>
    <w:rsid w:val="003851F5"/>
    <w:rsid w:val="00431C3F"/>
    <w:rsid w:val="0043736E"/>
    <w:rsid w:val="00481E8C"/>
    <w:rsid w:val="004A2423"/>
    <w:rsid w:val="004D2947"/>
    <w:rsid w:val="004E27DC"/>
    <w:rsid w:val="00517705"/>
    <w:rsid w:val="00554E02"/>
    <w:rsid w:val="00556ACB"/>
    <w:rsid w:val="00594714"/>
    <w:rsid w:val="005E6CA2"/>
    <w:rsid w:val="005F7BC3"/>
    <w:rsid w:val="00603A03"/>
    <w:rsid w:val="006C7BA2"/>
    <w:rsid w:val="00780925"/>
    <w:rsid w:val="00802B76"/>
    <w:rsid w:val="00830E9C"/>
    <w:rsid w:val="00845326"/>
    <w:rsid w:val="00847B9F"/>
    <w:rsid w:val="00860F51"/>
    <w:rsid w:val="00901359"/>
    <w:rsid w:val="00973FF1"/>
    <w:rsid w:val="009A3FC3"/>
    <w:rsid w:val="00A00573"/>
    <w:rsid w:val="00A11DC3"/>
    <w:rsid w:val="00A14640"/>
    <w:rsid w:val="00A67FF0"/>
    <w:rsid w:val="00B23FEE"/>
    <w:rsid w:val="00C44E87"/>
    <w:rsid w:val="00C63012"/>
    <w:rsid w:val="00C674AE"/>
    <w:rsid w:val="00C93106"/>
    <w:rsid w:val="00CA688F"/>
    <w:rsid w:val="00CD2D7D"/>
    <w:rsid w:val="00D05A45"/>
    <w:rsid w:val="00D30EE1"/>
    <w:rsid w:val="00D51B8F"/>
    <w:rsid w:val="00D639EE"/>
    <w:rsid w:val="00D75260"/>
    <w:rsid w:val="00D9163B"/>
    <w:rsid w:val="00DA362D"/>
    <w:rsid w:val="00E0505E"/>
    <w:rsid w:val="00E37F18"/>
    <w:rsid w:val="00E81374"/>
    <w:rsid w:val="00EA223A"/>
    <w:rsid w:val="00F91FDA"/>
    <w:rsid w:val="00FB2D43"/>
    <w:rsid w:val="00FC2933"/>
    <w:rsid w:val="00FE3587"/>
    <w:rsid w:val="01662870"/>
    <w:rsid w:val="01BE7734"/>
    <w:rsid w:val="01F1423A"/>
    <w:rsid w:val="02072B66"/>
    <w:rsid w:val="02697B10"/>
    <w:rsid w:val="026B3B1D"/>
    <w:rsid w:val="026B51D8"/>
    <w:rsid w:val="02740435"/>
    <w:rsid w:val="028265B4"/>
    <w:rsid w:val="029B4CE7"/>
    <w:rsid w:val="02C55AEE"/>
    <w:rsid w:val="032A4BB2"/>
    <w:rsid w:val="03D16593"/>
    <w:rsid w:val="03F855E9"/>
    <w:rsid w:val="042A55ED"/>
    <w:rsid w:val="04707FF5"/>
    <w:rsid w:val="04821866"/>
    <w:rsid w:val="04854A70"/>
    <w:rsid w:val="048F2E4A"/>
    <w:rsid w:val="04A517B6"/>
    <w:rsid w:val="04B22734"/>
    <w:rsid w:val="04FB42F5"/>
    <w:rsid w:val="051F5474"/>
    <w:rsid w:val="05227380"/>
    <w:rsid w:val="057B036B"/>
    <w:rsid w:val="057E2648"/>
    <w:rsid w:val="05896977"/>
    <w:rsid w:val="05C1651F"/>
    <w:rsid w:val="05E658A8"/>
    <w:rsid w:val="06375904"/>
    <w:rsid w:val="06467C5F"/>
    <w:rsid w:val="069B0CEC"/>
    <w:rsid w:val="06D563D4"/>
    <w:rsid w:val="06E52C2F"/>
    <w:rsid w:val="075400B6"/>
    <w:rsid w:val="075C23F8"/>
    <w:rsid w:val="0782495D"/>
    <w:rsid w:val="078330F1"/>
    <w:rsid w:val="07E13C28"/>
    <w:rsid w:val="08187D41"/>
    <w:rsid w:val="08436DD9"/>
    <w:rsid w:val="085E30F5"/>
    <w:rsid w:val="08AD7FA7"/>
    <w:rsid w:val="08BB41B9"/>
    <w:rsid w:val="08CD2044"/>
    <w:rsid w:val="090C602F"/>
    <w:rsid w:val="091A16D5"/>
    <w:rsid w:val="09882EBC"/>
    <w:rsid w:val="099F405A"/>
    <w:rsid w:val="0A301518"/>
    <w:rsid w:val="0A501297"/>
    <w:rsid w:val="0AA04055"/>
    <w:rsid w:val="0AA63FF1"/>
    <w:rsid w:val="0AB15E5A"/>
    <w:rsid w:val="0AC42FE3"/>
    <w:rsid w:val="0AD3413A"/>
    <w:rsid w:val="0AF62801"/>
    <w:rsid w:val="0B1A75AA"/>
    <w:rsid w:val="0B424CDE"/>
    <w:rsid w:val="0B524E2B"/>
    <w:rsid w:val="0B6050FD"/>
    <w:rsid w:val="0B6A2CBD"/>
    <w:rsid w:val="0BB238E9"/>
    <w:rsid w:val="0BE74DA7"/>
    <w:rsid w:val="0BF10158"/>
    <w:rsid w:val="0C2667C4"/>
    <w:rsid w:val="0C4A2A1F"/>
    <w:rsid w:val="0C7D4344"/>
    <w:rsid w:val="0C9B07BA"/>
    <w:rsid w:val="0CF4559A"/>
    <w:rsid w:val="0CF745C1"/>
    <w:rsid w:val="0D1A0B8B"/>
    <w:rsid w:val="0D532599"/>
    <w:rsid w:val="0D5F522B"/>
    <w:rsid w:val="0D6664A5"/>
    <w:rsid w:val="0D6C715C"/>
    <w:rsid w:val="0D734A4E"/>
    <w:rsid w:val="0DB92FB5"/>
    <w:rsid w:val="0E8A07EC"/>
    <w:rsid w:val="0EDF0D75"/>
    <w:rsid w:val="0EF6395D"/>
    <w:rsid w:val="0EF86689"/>
    <w:rsid w:val="0F4975A9"/>
    <w:rsid w:val="0F8B5E2A"/>
    <w:rsid w:val="0F937F68"/>
    <w:rsid w:val="0FA02ADD"/>
    <w:rsid w:val="0FAF4FDC"/>
    <w:rsid w:val="0FFE63CC"/>
    <w:rsid w:val="10991CC0"/>
    <w:rsid w:val="10B333E5"/>
    <w:rsid w:val="10D06823"/>
    <w:rsid w:val="10E048A8"/>
    <w:rsid w:val="1124103F"/>
    <w:rsid w:val="116449D6"/>
    <w:rsid w:val="11864ECF"/>
    <w:rsid w:val="11DF3AF5"/>
    <w:rsid w:val="11E34E31"/>
    <w:rsid w:val="120B1C31"/>
    <w:rsid w:val="121262AF"/>
    <w:rsid w:val="123B2C15"/>
    <w:rsid w:val="129B7201"/>
    <w:rsid w:val="12A47CEF"/>
    <w:rsid w:val="12C72E7F"/>
    <w:rsid w:val="13264B63"/>
    <w:rsid w:val="135358D6"/>
    <w:rsid w:val="13592F1E"/>
    <w:rsid w:val="137D0F85"/>
    <w:rsid w:val="137F00A2"/>
    <w:rsid w:val="13863DF1"/>
    <w:rsid w:val="13AF1CE5"/>
    <w:rsid w:val="13E36FDE"/>
    <w:rsid w:val="13F05F2E"/>
    <w:rsid w:val="14262A3F"/>
    <w:rsid w:val="143F290A"/>
    <w:rsid w:val="145C024E"/>
    <w:rsid w:val="14657857"/>
    <w:rsid w:val="14F11AB6"/>
    <w:rsid w:val="14F47201"/>
    <w:rsid w:val="15261FB1"/>
    <w:rsid w:val="155F341C"/>
    <w:rsid w:val="156C4252"/>
    <w:rsid w:val="15C04DA6"/>
    <w:rsid w:val="15CF47FC"/>
    <w:rsid w:val="15EA3E19"/>
    <w:rsid w:val="15F12BE3"/>
    <w:rsid w:val="161E0E10"/>
    <w:rsid w:val="162D3CB6"/>
    <w:rsid w:val="16643B22"/>
    <w:rsid w:val="16B15366"/>
    <w:rsid w:val="16C609AB"/>
    <w:rsid w:val="16F93A73"/>
    <w:rsid w:val="170C55A0"/>
    <w:rsid w:val="173F34D3"/>
    <w:rsid w:val="174E4D2A"/>
    <w:rsid w:val="178170C0"/>
    <w:rsid w:val="17890FE2"/>
    <w:rsid w:val="17984AB0"/>
    <w:rsid w:val="17BE2B91"/>
    <w:rsid w:val="17C47AED"/>
    <w:rsid w:val="17DE5CFC"/>
    <w:rsid w:val="17E107F8"/>
    <w:rsid w:val="181011AC"/>
    <w:rsid w:val="18124233"/>
    <w:rsid w:val="184F29D6"/>
    <w:rsid w:val="18605BCF"/>
    <w:rsid w:val="18917DA9"/>
    <w:rsid w:val="18F27A0C"/>
    <w:rsid w:val="19134F77"/>
    <w:rsid w:val="19386A1B"/>
    <w:rsid w:val="195006A1"/>
    <w:rsid w:val="19611114"/>
    <w:rsid w:val="19805404"/>
    <w:rsid w:val="19844F80"/>
    <w:rsid w:val="19AD419F"/>
    <w:rsid w:val="1A0C0C7E"/>
    <w:rsid w:val="1A364D0B"/>
    <w:rsid w:val="1A6C7A67"/>
    <w:rsid w:val="1A6E2F4D"/>
    <w:rsid w:val="1AB74C47"/>
    <w:rsid w:val="1AE622A0"/>
    <w:rsid w:val="1AEE29B1"/>
    <w:rsid w:val="1B0E2B7D"/>
    <w:rsid w:val="1B3E19B6"/>
    <w:rsid w:val="1B40215F"/>
    <w:rsid w:val="1B6F5595"/>
    <w:rsid w:val="1B902486"/>
    <w:rsid w:val="1BBB07E2"/>
    <w:rsid w:val="1BBF5FEB"/>
    <w:rsid w:val="1BDE1736"/>
    <w:rsid w:val="1C135F01"/>
    <w:rsid w:val="1C4D441B"/>
    <w:rsid w:val="1C57266E"/>
    <w:rsid w:val="1C595772"/>
    <w:rsid w:val="1C9627F1"/>
    <w:rsid w:val="1CAD31E8"/>
    <w:rsid w:val="1CB02170"/>
    <w:rsid w:val="1CB64327"/>
    <w:rsid w:val="1CB84897"/>
    <w:rsid w:val="1CBC0C1B"/>
    <w:rsid w:val="1CBE6AC7"/>
    <w:rsid w:val="1CE41964"/>
    <w:rsid w:val="1CF56960"/>
    <w:rsid w:val="1D2535D2"/>
    <w:rsid w:val="1D255EAB"/>
    <w:rsid w:val="1D3D0D12"/>
    <w:rsid w:val="1D540D94"/>
    <w:rsid w:val="1D700B53"/>
    <w:rsid w:val="1D921076"/>
    <w:rsid w:val="1DA0149B"/>
    <w:rsid w:val="1DAF3687"/>
    <w:rsid w:val="1DB56485"/>
    <w:rsid w:val="1DD72963"/>
    <w:rsid w:val="1E5C6DC9"/>
    <w:rsid w:val="1E674651"/>
    <w:rsid w:val="1E6B4D56"/>
    <w:rsid w:val="1EB037DF"/>
    <w:rsid w:val="1EC830ED"/>
    <w:rsid w:val="1EE034FF"/>
    <w:rsid w:val="1FAC5206"/>
    <w:rsid w:val="1FC7464C"/>
    <w:rsid w:val="1FCB479F"/>
    <w:rsid w:val="1FE9452D"/>
    <w:rsid w:val="1FEB0728"/>
    <w:rsid w:val="1FED643E"/>
    <w:rsid w:val="1FEF0AED"/>
    <w:rsid w:val="1FF43C74"/>
    <w:rsid w:val="20136FC0"/>
    <w:rsid w:val="202E5418"/>
    <w:rsid w:val="20501593"/>
    <w:rsid w:val="205A71B4"/>
    <w:rsid w:val="20871BE6"/>
    <w:rsid w:val="20BE1988"/>
    <w:rsid w:val="20C76ACC"/>
    <w:rsid w:val="20E837A7"/>
    <w:rsid w:val="20F10B78"/>
    <w:rsid w:val="211265E0"/>
    <w:rsid w:val="21175960"/>
    <w:rsid w:val="211809C3"/>
    <w:rsid w:val="211F7BBD"/>
    <w:rsid w:val="214E08D3"/>
    <w:rsid w:val="21831A7E"/>
    <w:rsid w:val="21953B08"/>
    <w:rsid w:val="21AC0E50"/>
    <w:rsid w:val="21C425DA"/>
    <w:rsid w:val="21D07039"/>
    <w:rsid w:val="21D1728C"/>
    <w:rsid w:val="21FC0737"/>
    <w:rsid w:val="22180411"/>
    <w:rsid w:val="22614263"/>
    <w:rsid w:val="226D77DE"/>
    <w:rsid w:val="2283671C"/>
    <w:rsid w:val="228C0242"/>
    <w:rsid w:val="22CE6908"/>
    <w:rsid w:val="22D43140"/>
    <w:rsid w:val="22D4526D"/>
    <w:rsid w:val="22EC3F8D"/>
    <w:rsid w:val="22F60B5A"/>
    <w:rsid w:val="230D0572"/>
    <w:rsid w:val="23303478"/>
    <w:rsid w:val="2331468D"/>
    <w:rsid w:val="233330FD"/>
    <w:rsid w:val="23451D17"/>
    <w:rsid w:val="234E7CE9"/>
    <w:rsid w:val="236B60C7"/>
    <w:rsid w:val="23746BAF"/>
    <w:rsid w:val="23941BC3"/>
    <w:rsid w:val="240E5729"/>
    <w:rsid w:val="24271AA4"/>
    <w:rsid w:val="243908A1"/>
    <w:rsid w:val="248766C3"/>
    <w:rsid w:val="24A74BD2"/>
    <w:rsid w:val="24B34575"/>
    <w:rsid w:val="24E63FCA"/>
    <w:rsid w:val="252F3F92"/>
    <w:rsid w:val="25547909"/>
    <w:rsid w:val="257C3F02"/>
    <w:rsid w:val="25C32A5C"/>
    <w:rsid w:val="25D0158C"/>
    <w:rsid w:val="25D46281"/>
    <w:rsid w:val="25F30BC5"/>
    <w:rsid w:val="26150AF4"/>
    <w:rsid w:val="26536727"/>
    <w:rsid w:val="267C63C8"/>
    <w:rsid w:val="268F068C"/>
    <w:rsid w:val="26927489"/>
    <w:rsid w:val="26A40188"/>
    <w:rsid w:val="26C61B80"/>
    <w:rsid w:val="26F86155"/>
    <w:rsid w:val="27266A05"/>
    <w:rsid w:val="273F14BB"/>
    <w:rsid w:val="275A7DA9"/>
    <w:rsid w:val="276B72AB"/>
    <w:rsid w:val="27C71282"/>
    <w:rsid w:val="27DA086B"/>
    <w:rsid w:val="27DE3225"/>
    <w:rsid w:val="27F31AF8"/>
    <w:rsid w:val="281D1773"/>
    <w:rsid w:val="28297729"/>
    <w:rsid w:val="28346982"/>
    <w:rsid w:val="286148D4"/>
    <w:rsid w:val="28705D59"/>
    <w:rsid w:val="2876776C"/>
    <w:rsid w:val="28B3500D"/>
    <w:rsid w:val="28C77FD9"/>
    <w:rsid w:val="28DE45F7"/>
    <w:rsid w:val="28E86AA3"/>
    <w:rsid w:val="28F31577"/>
    <w:rsid w:val="29525501"/>
    <w:rsid w:val="295C5C6D"/>
    <w:rsid w:val="29B07ECD"/>
    <w:rsid w:val="29FB727A"/>
    <w:rsid w:val="2A4C3692"/>
    <w:rsid w:val="2A555E1B"/>
    <w:rsid w:val="2A67172F"/>
    <w:rsid w:val="2A7D78A6"/>
    <w:rsid w:val="2A8E7571"/>
    <w:rsid w:val="2AA732F7"/>
    <w:rsid w:val="2B4019D2"/>
    <w:rsid w:val="2B4952C7"/>
    <w:rsid w:val="2B5828A3"/>
    <w:rsid w:val="2B71453F"/>
    <w:rsid w:val="2B7E281B"/>
    <w:rsid w:val="2B8B27F0"/>
    <w:rsid w:val="2B8C4E29"/>
    <w:rsid w:val="2B94121A"/>
    <w:rsid w:val="2BA27649"/>
    <w:rsid w:val="2BB317D5"/>
    <w:rsid w:val="2BF011C4"/>
    <w:rsid w:val="2C0B3A6E"/>
    <w:rsid w:val="2C1F5D85"/>
    <w:rsid w:val="2C845B87"/>
    <w:rsid w:val="2CC92911"/>
    <w:rsid w:val="2CF73659"/>
    <w:rsid w:val="2D107D9C"/>
    <w:rsid w:val="2D161F04"/>
    <w:rsid w:val="2D31344C"/>
    <w:rsid w:val="2D332A20"/>
    <w:rsid w:val="2DCA237D"/>
    <w:rsid w:val="2DD72CDA"/>
    <w:rsid w:val="2E345C26"/>
    <w:rsid w:val="2E4F206E"/>
    <w:rsid w:val="2EA24B17"/>
    <w:rsid w:val="2EBE590F"/>
    <w:rsid w:val="2ECA4E39"/>
    <w:rsid w:val="2EDE3E5B"/>
    <w:rsid w:val="2EE82D4E"/>
    <w:rsid w:val="2EE94C0D"/>
    <w:rsid w:val="2EED16F6"/>
    <w:rsid w:val="2F07090A"/>
    <w:rsid w:val="2F3D21F8"/>
    <w:rsid w:val="2F6C3392"/>
    <w:rsid w:val="2F7F1D22"/>
    <w:rsid w:val="2F97548C"/>
    <w:rsid w:val="2FA91428"/>
    <w:rsid w:val="2FD321BF"/>
    <w:rsid w:val="30227111"/>
    <w:rsid w:val="30335DF1"/>
    <w:rsid w:val="30394169"/>
    <w:rsid w:val="307F502D"/>
    <w:rsid w:val="30DD6037"/>
    <w:rsid w:val="30F33A84"/>
    <w:rsid w:val="311166B3"/>
    <w:rsid w:val="31255BC5"/>
    <w:rsid w:val="3128647B"/>
    <w:rsid w:val="31416098"/>
    <w:rsid w:val="31AF6104"/>
    <w:rsid w:val="31B47E59"/>
    <w:rsid w:val="31F129D7"/>
    <w:rsid w:val="32453549"/>
    <w:rsid w:val="3272548A"/>
    <w:rsid w:val="327D79AB"/>
    <w:rsid w:val="32836083"/>
    <w:rsid w:val="33481242"/>
    <w:rsid w:val="334928B2"/>
    <w:rsid w:val="33574116"/>
    <w:rsid w:val="335F618C"/>
    <w:rsid w:val="33665322"/>
    <w:rsid w:val="33862F83"/>
    <w:rsid w:val="33AC7499"/>
    <w:rsid w:val="340E01A9"/>
    <w:rsid w:val="341D69F2"/>
    <w:rsid w:val="341E1E90"/>
    <w:rsid w:val="34C070ED"/>
    <w:rsid w:val="34E02EF2"/>
    <w:rsid w:val="34E604A2"/>
    <w:rsid w:val="34EC76E2"/>
    <w:rsid w:val="353135D6"/>
    <w:rsid w:val="35560887"/>
    <w:rsid w:val="35A731AF"/>
    <w:rsid w:val="35D349F4"/>
    <w:rsid w:val="35EF7B27"/>
    <w:rsid w:val="35FD358B"/>
    <w:rsid w:val="36995498"/>
    <w:rsid w:val="36CA2A69"/>
    <w:rsid w:val="36D0413F"/>
    <w:rsid w:val="36F23912"/>
    <w:rsid w:val="376A608B"/>
    <w:rsid w:val="38114FD9"/>
    <w:rsid w:val="38493522"/>
    <w:rsid w:val="387068A7"/>
    <w:rsid w:val="387533E2"/>
    <w:rsid w:val="38915E58"/>
    <w:rsid w:val="38C14FA3"/>
    <w:rsid w:val="38FB2E7E"/>
    <w:rsid w:val="392A595A"/>
    <w:rsid w:val="39302FAF"/>
    <w:rsid w:val="39521779"/>
    <w:rsid w:val="399C3420"/>
    <w:rsid w:val="39D56F69"/>
    <w:rsid w:val="39E471FE"/>
    <w:rsid w:val="39FF4480"/>
    <w:rsid w:val="3A1D03F0"/>
    <w:rsid w:val="3A2B1513"/>
    <w:rsid w:val="3A6E773B"/>
    <w:rsid w:val="3A894C0E"/>
    <w:rsid w:val="3A971A26"/>
    <w:rsid w:val="3AA46799"/>
    <w:rsid w:val="3ADD47CA"/>
    <w:rsid w:val="3B0373F0"/>
    <w:rsid w:val="3B1B473B"/>
    <w:rsid w:val="3B683721"/>
    <w:rsid w:val="3B786BF2"/>
    <w:rsid w:val="3B7B4A67"/>
    <w:rsid w:val="3BB22E0B"/>
    <w:rsid w:val="3BC07EE0"/>
    <w:rsid w:val="3BC63DBA"/>
    <w:rsid w:val="3BDF2601"/>
    <w:rsid w:val="3BE00B34"/>
    <w:rsid w:val="3BF41F31"/>
    <w:rsid w:val="3BF47C71"/>
    <w:rsid w:val="3C0E0EC6"/>
    <w:rsid w:val="3C2E3EE1"/>
    <w:rsid w:val="3C2F593E"/>
    <w:rsid w:val="3CA53758"/>
    <w:rsid w:val="3CDC7484"/>
    <w:rsid w:val="3D136DE2"/>
    <w:rsid w:val="3D16490B"/>
    <w:rsid w:val="3D170F64"/>
    <w:rsid w:val="3D393F4E"/>
    <w:rsid w:val="3D8436B2"/>
    <w:rsid w:val="3D86714A"/>
    <w:rsid w:val="3D873879"/>
    <w:rsid w:val="3D8C1049"/>
    <w:rsid w:val="3DA22748"/>
    <w:rsid w:val="3DAE2CB7"/>
    <w:rsid w:val="3E012933"/>
    <w:rsid w:val="3E4824FA"/>
    <w:rsid w:val="3E8B48FD"/>
    <w:rsid w:val="3F481CB1"/>
    <w:rsid w:val="3F831A6C"/>
    <w:rsid w:val="3FD51580"/>
    <w:rsid w:val="3FDF460F"/>
    <w:rsid w:val="401A7BB8"/>
    <w:rsid w:val="4025171A"/>
    <w:rsid w:val="40256512"/>
    <w:rsid w:val="404C0BF9"/>
    <w:rsid w:val="40550BAA"/>
    <w:rsid w:val="406A405E"/>
    <w:rsid w:val="40706D89"/>
    <w:rsid w:val="40A85827"/>
    <w:rsid w:val="40C200FF"/>
    <w:rsid w:val="40D94D78"/>
    <w:rsid w:val="414D0F37"/>
    <w:rsid w:val="41505032"/>
    <w:rsid w:val="415F0541"/>
    <w:rsid w:val="41965ABC"/>
    <w:rsid w:val="41A11517"/>
    <w:rsid w:val="41A36187"/>
    <w:rsid w:val="41D726C6"/>
    <w:rsid w:val="41DB7FD8"/>
    <w:rsid w:val="421B2BE8"/>
    <w:rsid w:val="42294BA6"/>
    <w:rsid w:val="4250282C"/>
    <w:rsid w:val="429C5EC3"/>
    <w:rsid w:val="42AF6242"/>
    <w:rsid w:val="43024701"/>
    <w:rsid w:val="43430DCF"/>
    <w:rsid w:val="4384759E"/>
    <w:rsid w:val="439B0E20"/>
    <w:rsid w:val="43BD4F8B"/>
    <w:rsid w:val="43F6315F"/>
    <w:rsid w:val="4413023B"/>
    <w:rsid w:val="442A6458"/>
    <w:rsid w:val="445078B9"/>
    <w:rsid w:val="44CF410D"/>
    <w:rsid w:val="44E60D74"/>
    <w:rsid w:val="44ED4B84"/>
    <w:rsid w:val="44F56D6F"/>
    <w:rsid w:val="450375A4"/>
    <w:rsid w:val="457614C3"/>
    <w:rsid w:val="457D63C7"/>
    <w:rsid w:val="458D3E7C"/>
    <w:rsid w:val="459A6DA6"/>
    <w:rsid w:val="45C4276C"/>
    <w:rsid w:val="460C3F18"/>
    <w:rsid w:val="460C7B23"/>
    <w:rsid w:val="46944F19"/>
    <w:rsid w:val="46B060F2"/>
    <w:rsid w:val="46B61AF3"/>
    <w:rsid w:val="46B95EE1"/>
    <w:rsid w:val="46C23287"/>
    <w:rsid w:val="46C751ED"/>
    <w:rsid w:val="46E06F73"/>
    <w:rsid w:val="46FB3C12"/>
    <w:rsid w:val="472537A1"/>
    <w:rsid w:val="47505171"/>
    <w:rsid w:val="476A136D"/>
    <w:rsid w:val="477E21D1"/>
    <w:rsid w:val="47BB28A2"/>
    <w:rsid w:val="47D1098A"/>
    <w:rsid w:val="47D440FB"/>
    <w:rsid w:val="47F87411"/>
    <w:rsid w:val="480371C5"/>
    <w:rsid w:val="48150217"/>
    <w:rsid w:val="486F595F"/>
    <w:rsid w:val="48767DA3"/>
    <w:rsid w:val="48A94E46"/>
    <w:rsid w:val="48AB0B42"/>
    <w:rsid w:val="48BB409C"/>
    <w:rsid w:val="490833F6"/>
    <w:rsid w:val="494C7A48"/>
    <w:rsid w:val="496E6F7E"/>
    <w:rsid w:val="498F1192"/>
    <w:rsid w:val="4A114AA2"/>
    <w:rsid w:val="4A3F036E"/>
    <w:rsid w:val="4A5616B9"/>
    <w:rsid w:val="4AAA0E51"/>
    <w:rsid w:val="4AB44726"/>
    <w:rsid w:val="4ACC6F74"/>
    <w:rsid w:val="4AD53D8F"/>
    <w:rsid w:val="4ADB4C0E"/>
    <w:rsid w:val="4AEF0D66"/>
    <w:rsid w:val="4AF910E0"/>
    <w:rsid w:val="4B066004"/>
    <w:rsid w:val="4B4F6427"/>
    <w:rsid w:val="4B6F3429"/>
    <w:rsid w:val="4BC25FDB"/>
    <w:rsid w:val="4BDA73AB"/>
    <w:rsid w:val="4BDC755A"/>
    <w:rsid w:val="4BFA2503"/>
    <w:rsid w:val="4C6B0140"/>
    <w:rsid w:val="4C8E27C0"/>
    <w:rsid w:val="4CC110EA"/>
    <w:rsid w:val="4D007156"/>
    <w:rsid w:val="4D1A392A"/>
    <w:rsid w:val="4D293F05"/>
    <w:rsid w:val="4D93387D"/>
    <w:rsid w:val="4DD956AC"/>
    <w:rsid w:val="4E0F12B6"/>
    <w:rsid w:val="4E3F61FB"/>
    <w:rsid w:val="4E5A0FB0"/>
    <w:rsid w:val="4E9816BC"/>
    <w:rsid w:val="4EAF4E08"/>
    <w:rsid w:val="4EFB2F53"/>
    <w:rsid w:val="4F035241"/>
    <w:rsid w:val="4F044A22"/>
    <w:rsid w:val="4F5B56F2"/>
    <w:rsid w:val="4F895A3F"/>
    <w:rsid w:val="4FD43707"/>
    <w:rsid w:val="50A76839"/>
    <w:rsid w:val="50AA4A33"/>
    <w:rsid w:val="50F03DA0"/>
    <w:rsid w:val="50FC6F4F"/>
    <w:rsid w:val="510E424F"/>
    <w:rsid w:val="51385CCE"/>
    <w:rsid w:val="519E1BF4"/>
    <w:rsid w:val="51A511F5"/>
    <w:rsid w:val="51A823A2"/>
    <w:rsid w:val="51D201FB"/>
    <w:rsid w:val="51E41554"/>
    <w:rsid w:val="51E565AA"/>
    <w:rsid w:val="521564AD"/>
    <w:rsid w:val="522B7A4F"/>
    <w:rsid w:val="5232416C"/>
    <w:rsid w:val="524344B7"/>
    <w:rsid w:val="529022A5"/>
    <w:rsid w:val="52D27B4F"/>
    <w:rsid w:val="52DA3B41"/>
    <w:rsid w:val="532D4B02"/>
    <w:rsid w:val="5332274C"/>
    <w:rsid w:val="53A13424"/>
    <w:rsid w:val="53A47594"/>
    <w:rsid w:val="53A65BE7"/>
    <w:rsid w:val="53B60005"/>
    <w:rsid w:val="54272629"/>
    <w:rsid w:val="54502531"/>
    <w:rsid w:val="54516834"/>
    <w:rsid w:val="54905451"/>
    <w:rsid w:val="54A1117C"/>
    <w:rsid w:val="54B100E8"/>
    <w:rsid w:val="54B43292"/>
    <w:rsid w:val="55087A68"/>
    <w:rsid w:val="553C60F5"/>
    <w:rsid w:val="55423A78"/>
    <w:rsid w:val="55C9743B"/>
    <w:rsid w:val="55DE5CB4"/>
    <w:rsid w:val="55E57D73"/>
    <w:rsid w:val="56474417"/>
    <w:rsid w:val="569C6765"/>
    <w:rsid w:val="56C347E8"/>
    <w:rsid w:val="570B37F5"/>
    <w:rsid w:val="574934CE"/>
    <w:rsid w:val="576E12FE"/>
    <w:rsid w:val="578F647A"/>
    <w:rsid w:val="579D4122"/>
    <w:rsid w:val="57A657D2"/>
    <w:rsid w:val="57A904EA"/>
    <w:rsid w:val="57F1600C"/>
    <w:rsid w:val="581D3A91"/>
    <w:rsid w:val="582034E5"/>
    <w:rsid w:val="582A5967"/>
    <w:rsid w:val="58622231"/>
    <w:rsid w:val="58774081"/>
    <w:rsid w:val="58794C51"/>
    <w:rsid w:val="58B1047E"/>
    <w:rsid w:val="58C6763E"/>
    <w:rsid w:val="58CB2070"/>
    <w:rsid w:val="590562EA"/>
    <w:rsid w:val="593000B0"/>
    <w:rsid w:val="595913F4"/>
    <w:rsid w:val="596E08ED"/>
    <w:rsid w:val="599B1CF0"/>
    <w:rsid w:val="59A84DA0"/>
    <w:rsid w:val="59B725FC"/>
    <w:rsid w:val="5A034CF7"/>
    <w:rsid w:val="5A284346"/>
    <w:rsid w:val="5A3139C4"/>
    <w:rsid w:val="5A6B770C"/>
    <w:rsid w:val="5A923F78"/>
    <w:rsid w:val="5A980C3C"/>
    <w:rsid w:val="5AAC0420"/>
    <w:rsid w:val="5B2E64C1"/>
    <w:rsid w:val="5B4E1D2F"/>
    <w:rsid w:val="5B582D96"/>
    <w:rsid w:val="5B74172A"/>
    <w:rsid w:val="5B8C1438"/>
    <w:rsid w:val="5BA0329B"/>
    <w:rsid w:val="5BA442E0"/>
    <w:rsid w:val="5BB40C57"/>
    <w:rsid w:val="5C390037"/>
    <w:rsid w:val="5C6C4DE1"/>
    <w:rsid w:val="5C792B8C"/>
    <w:rsid w:val="5CB17A77"/>
    <w:rsid w:val="5CC51476"/>
    <w:rsid w:val="5CCE04E5"/>
    <w:rsid w:val="5D106DEC"/>
    <w:rsid w:val="5D2161B4"/>
    <w:rsid w:val="5D4C2325"/>
    <w:rsid w:val="5D521509"/>
    <w:rsid w:val="5D561173"/>
    <w:rsid w:val="5D746835"/>
    <w:rsid w:val="5DC84A2D"/>
    <w:rsid w:val="5E0579FA"/>
    <w:rsid w:val="5E20199E"/>
    <w:rsid w:val="5E3210DB"/>
    <w:rsid w:val="5E4D45C3"/>
    <w:rsid w:val="5E6A68EB"/>
    <w:rsid w:val="5E764AC0"/>
    <w:rsid w:val="5EDB6892"/>
    <w:rsid w:val="5F064EE3"/>
    <w:rsid w:val="5F2A113D"/>
    <w:rsid w:val="5F3E0DE1"/>
    <w:rsid w:val="5F572392"/>
    <w:rsid w:val="5FB3381E"/>
    <w:rsid w:val="5FE75CFB"/>
    <w:rsid w:val="5FFD1A6D"/>
    <w:rsid w:val="601B2095"/>
    <w:rsid w:val="604E7426"/>
    <w:rsid w:val="605A3941"/>
    <w:rsid w:val="60862A9C"/>
    <w:rsid w:val="6094716B"/>
    <w:rsid w:val="60EE2F26"/>
    <w:rsid w:val="61351CC9"/>
    <w:rsid w:val="614739D0"/>
    <w:rsid w:val="61514549"/>
    <w:rsid w:val="619D3474"/>
    <w:rsid w:val="61A212A4"/>
    <w:rsid w:val="61DB03C5"/>
    <w:rsid w:val="61F275C2"/>
    <w:rsid w:val="62575F4E"/>
    <w:rsid w:val="62B1265D"/>
    <w:rsid w:val="62B93038"/>
    <w:rsid w:val="632B36A6"/>
    <w:rsid w:val="63312C32"/>
    <w:rsid w:val="633F031A"/>
    <w:rsid w:val="63CA178A"/>
    <w:rsid w:val="63CE6065"/>
    <w:rsid w:val="64321D6C"/>
    <w:rsid w:val="644A003B"/>
    <w:rsid w:val="646340B7"/>
    <w:rsid w:val="64644BDA"/>
    <w:rsid w:val="64753446"/>
    <w:rsid w:val="6478500C"/>
    <w:rsid w:val="647E3A2C"/>
    <w:rsid w:val="648D7E56"/>
    <w:rsid w:val="64975492"/>
    <w:rsid w:val="64BB3C97"/>
    <w:rsid w:val="65726AF6"/>
    <w:rsid w:val="659543EA"/>
    <w:rsid w:val="66293180"/>
    <w:rsid w:val="6639512B"/>
    <w:rsid w:val="665E75A0"/>
    <w:rsid w:val="66904BEA"/>
    <w:rsid w:val="66993C56"/>
    <w:rsid w:val="66AA4D47"/>
    <w:rsid w:val="66C373C9"/>
    <w:rsid w:val="66D27671"/>
    <w:rsid w:val="66F95561"/>
    <w:rsid w:val="671F79FF"/>
    <w:rsid w:val="672420E4"/>
    <w:rsid w:val="672E105E"/>
    <w:rsid w:val="67546C03"/>
    <w:rsid w:val="675822EE"/>
    <w:rsid w:val="679023AB"/>
    <w:rsid w:val="679D5252"/>
    <w:rsid w:val="67C93B60"/>
    <w:rsid w:val="67D1280B"/>
    <w:rsid w:val="67D90D6E"/>
    <w:rsid w:val="67F7344B"/>
    <w:rsid w:val="68047C16"/>
    <w:rsid w:val="68234313"/>
    <w:rsid w:val="685F73EE"/>
    <w:rsid w:val="68670F13"/>
    <w:rsid w:val="686F7872"/>
    <w:rsid w:val="68714508"/>
    <w:rsid w:val="68CF4F06"/>
    <w:rsid w:val="694119D3"/>
    <w:rsid w:val="69600DA1"/>
    <w:rsid w:val="69622E22"/>
    <w:rsid w:val="6992388B"/>
    <w:rsid w:val="69A22C57"/>
    <w:rsid w:val="69A266E3"/>
    <w:rsid w:val="69A654E5"/>
    <w:rsid w:val="69BC547A"/>
    <w:rsid w:val="69CC2BD5"/>
    <w:rsid w:val="6A0D5A1E"/>
    <w:rsid w:val="6A3C2C6F"/>
    <w:rsid w:val="6AAD4366"/>
    <w:rsid w:val="6ABD1E0D"/>
    <w:rsid w:val="6B6B23AC"/>
    <w:rsid w:val="6B767AB2"/>
    <w:rsid w:val="6BAD46BE"/>
    <w:rsid w:val="6BD82C4D"/>
    <w:rsid w:val="6C123EC4"/>
    <w:rsid w:val="6C5D1CA8"/>
    <w:rsid w:val="6C7A7ADC"/>
    <w:rsid w:val="6D0C535F"/>
    <w:rsid w:val="6D172C9B"/>
    <w:rsid w:val="6D1F39E5"/>
    <w:rsid w:val="6D2234DD"/>
    <w:rsid w:val="6D732DE1"/>
    <w:rsid w:val="6D7547D4"/>
    <w:rsid w:val="6D9645BC"/>
    <w:rsid w:val="6D9B7E9A"/>
    <w:rsid w:val="6DB0081C"/>
    <w:rsid w:val="6DD409DF"/>
    <w:rsid w:val="6E163DAD"/>
    <w:rsid w:val="6E71333C"/>
    <w:rsid w:val="6E7A696C"/>
    <w:rsid w:val="6E8D297F"/>
    <w:rsid w:val="6EA30661"/>
    <w:rsid w:val="6EB06F6F"/>
    <w:rsid w:val="6EBC2C03"/>
    <w:rsid w:val="6EC72328"/>
    <w:rsid w:val="6F0D683F"/>
    <w:rsid w:val="6F1D31CD"/>
    <w:rsid w:val="6F1F532E"/>
    <w:rsid w:val="6F2454AB"/>
    <w:rsid w:val="6F2C29B8"/>
    <w:rsid w:val="6F2D436A"/>
    <w:rsid w:val="6F4324A7"/>
    <w:rsid w:val="6F53603A"/>
    <w:rsid w:val="6F6B2EB8"/>
    <w:rsid w:val="6F9C7854"/>
    <w:rsid w:val="6FA63D63"/>
    <w:rsid w:val="6FB77835"/>
    <w:rsid w:val="6FB9268B"/>
    <w:rsid w:val="7007202F"/>
    <w:rsid w:val="701A371C"/>
    <w:rsid w:val="70C615A0"/>
    <w:rsid w:val="70D01C3F"/>
    <w:rsid w:val="70E5408B"/>
    <w:rsid w:val="711B6211"/>
    <w:rsid w:val="713945EF"/>
    <w:rsid w:val="71431EA5"/>
    <w:rsid w:val="71CA2EAD"/>
    <w:rsid w:val="71CB302D"/>
    <w:rsid w:val="71CC74EF"/>
    <w:rsid w:val="720E0D1F"/>
    <w:rsid w:val="721B5003"/>
    <w:rsid w:val="72583E6C"/>
    <w:rsid w:val="727575FB"/>
    <w:rsid w:val="729F3C62"/>
    <w:rsid w:val="72B03C04"/>
    <w:rsid w:val="72BE2386"/>
    <w:rsid w:val="72DB00E4"/>
    <w:rsid w:val="72FE700E"/>
    <w:rsid w:val="73453642"/>
    <w:rsid w:val="73582D3C"/>
    <w:rsid w:val="73723305"/>
    <w:rsid w:val="7386740B"/>
    <w:rsid w:val="7389041E"/>
    <w:rsid w:val="739B5765"/>
    <w:rsid w:val="73B41513"/>
    <w:rsid w:val="73B6706F"/>
    <w:rsid w:val="73D5717B"/>
    <w:rsid w:val="73F01EB2"/>
    <w:rsid w:val="744C0F1D"/>
    <w:rsid w:val="745666A2"/>
    <w:rsid w:val="746661FF"/>
    <w:rsid w:val="748C61F5"/>
    <w:rsid w:val="74AE3D01"/>
    <w:rsid w:val="74B13849"/>
    <w:rsid w:val="74BE4314"/>
    <w:rsid w:val="74CC206A"/>
    <w:rsid w:val="74E578A9"/>
    <w:rsid w:val="74EB1ABA"/>
    <w:rsid w:val="752E4A4D"/>
    <w:rsid w:val="753801DE"/>
    <w:rsid w:val="753C2AB2"/>
    <w:rsid w:val="754C4E46"/>
    <w:rsid w:val="754C6966"/>
    <w:rsid w:val="756A34EB"/>
    <w:rsid w:val="75C42523"/>
    <w:rsid w:val="761F6B58"/>
    <w:rsid w:val="762A65AF"/>
    <w:rsid w:val="76BC5F99"/>
    <w:rsid w:val="772E28F1"/>
    <w:rsid w:val="77545B84"/>
    <w:rsid w:val="77620653"/>
    <w:rsid w:val="777944A3"/>
    <w:rsid w:val="77A43053"/>
    <w:rsid w:val="77AB482B"/>
    <w:rsid w:val="77CE44AF"/>
    <w:rsid w:val="77DC6B87"/>
    <w:rsid w:val="77FB1A86"/>
    <w:rsid w:val="77FC71F1"/>
    <w:rsid w:val="782A5FB8"/>
    <w:rsid w:val="786D1C9E"/>
    <w:rsid w:val="788A54A7"/>
    <w:rsid w:val="788D4D0D"/>
    <w:rsid w:val="78A714C9"/>
    <w:rsid w:val="78B74FFC"/>
    <w:rsid w:val="78D26E21"/>
    <w:rsid w:val="78E56379"/>
    <w:rsid w:val="78EE2808"/>
    <w:rsid w:val="79111A30"/>
    <w:rsid w:val="79253AB6"/>
    <w:rsid w:val="79BA4161"/>
    <w:rsid w:val="79C94656"/>
    <w:rsid w:val="79C974AA"/>
    <w:rsid w:val="79DB33F9"/>
    <w:rsid w:val="79FA78FB"/>
    <w:rsid w:val="7A08303E"/>
    <w:rsid w:val="7A0B4DD9"/>
    <w:rsid w:val="7A5B4B6F"/>
    <w:rsid w:val="7A6651D7"/>
    <w:rsid w:val="7A8226A2"/>
    <w:rsid w:val="7B3907B5"/>
    <w:rsid w:val="7B5B41D6"/>
    <w:rsid w:val="7B8D1061"/>
    <w:rsid w:val="7BA667A5"/>
    <w:rsid w:val="7BB06A3F"/>
    <w:rsid w:val="7BC9776E"/>
    <w:rsid w:val="7CD76D44"/>
    <w:rsid w:val="7D157CF8"/>
    <w:rsid w:val="7D232F49"/>
    <w:rsid w:val="7D5E7EF8"/>
    <w:rsid w:val="7D736386"/>
    <w:rsid w:val="7D751B09"/>
    <w:rsid w:val="7DEC6EB2"/>
    <w:rsid w:val="7DF06DFA"/>
    <w:rsid w:val="7E0D32F6"/>
    <w:rsid w:val="7E1E2AB6"/>
    <w:rsid w:val="7E73287D"/>
    <w:rsid w:val="7E773FB0"/>
    <w:rsid w:val="7EA673A7"/>
    <w:rsid w:val="7EB768EA"/>
    <w:rsid w:val="7EEA6471"/>
    <w:rsid w:val="7F1C0A86"/>
    <w:rsid w:val="7F26196F"/>
    <w:rsid w:val="7F271852"/>
    <w:rsid w:val="7F430E04"/>
    <w:rsid w:val="7FC543DA"/>
    <w:rsid w:val="7FF52EC7"/>
    <w:rsid w:val="7FF9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9"/>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before="280" w:after="290" w:line="376" w:lineRule="auto"/>
      <w:outlineLvl w:val="3"/>
    </w:pPr>
    <w:rPr>
      <w:rFonts w:ascii="Arial" w:hAnsi="Arial" w:eastAsia="黑体"/>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正文1"/>
    <w:basedOn w:val="1"/>
    <w:next w:val="3"/>
    <w:qFormat/>
    <w:uiPriority w:val="0"/>
    <w:pPr>
      <w:spacing w:line="360" w:lineRule="atLeast"/>
      <w:jc w:val="left"/>
    </w:pPr>
    <w:rPr>
      <w:rFonts w:ascii="宋体" w:hAnsiTheme="minorHAnsi" w:eastAsiaTheme="minorEastAsia" w:cstheme="minorBidi"/>
      <w:sz w:val="24"/>
      <w:szCs w:val="20"/>
    </w:rPr>
  </w:style>
  <w:style w:type="paragraph" w:customStyle="1" w:styleId="3">
    <w:name w:val="正文文本1"/>
    <w:basedOn w:val="2"/>
    <w:next w:val="4"/>
    <w:qFormat/>
    <w:uiPriority w:val="0"/>
    <w:pPr>
      <w:spacing w:after="120"/>
    </w:pPr>
    <w:rPr>
      <w:lang w:eastAsia="en-US"/>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6">
    <w:name w:val="段"/>
    <w:basedOn w:val="2"/>
    <w:next w:val="1"/>
    <w:qFormat/>
    <w:uiPriority w:val="0"/>
    <w:pPr>
      <w:widowControl/>
      <w:ind w:firstLine="200"/>
    </w:pPr>
    <w:rPr>
      <w:sz w:val="20"/>
    </w:rPr>
  </w:style>
  <w:style w:type="paragraph" w:styleId="9">
    <w:name w:val="Normal Indent"/>
    <w:basedOn w:val="1"/>
    <w:unhideWhenUsed/>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
    <w:qFormat/>
    <w:uiPriority w:val="0"/>
    <w:rPr>
      <w:rFonts w:ascii="楷体_GB2312" w:hAnsi="Arial" w:eastAsia="楷体_GB2312"/>
      <w:sz w:val="28"/>
      <w:szCs w:val="28"/>
    </w:rPr>
  </w:style>
  <w:style w:type="paragraph" w:styleId="14">
    <w:name w:val="Plain Text"/>
    <w:basedOn w:val="1"/>
    <w:link w:val="30"/>
    <w:qFormat/>
    <w:uiPriority w:val="99"/>
    <w:rPr>
      <w:rFonts w:ascii="宋体" w:hAnsi="Courier New"/>
      <w:kern w:val="0"/>
      <w:sz w:val="20"/>
      <w:szCs w:val="21"/>
    </w:rPr>
  </w:style>
  <w:style w:type="paragraph" w:styleId="15">
    <w:name w:val="Balloon Text"/>
    <w:basedOn w:val="1"/>
    <w:link w:val="28"/>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rPr>
      <w:rFonts w:ascii="Times New Roman" w:hAnsi="Times New Roman"/>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Char"/>
    <w:basedOn w:val="1"/>
    <w:qFormat/>
    <w:uiPriority w:val="0"/>
    <w:pPr>
      <w:tabs>
        <w:tab w:val="left" w:pos="360"/>
      </w:tabs>
      <w:ind w:firstLine="200" w:firstLineChars="200"/>
    </w:pPr>
    <w:rPr>
      <w:rFonts w:ascii="Times New Roman" w:hAnsi="Times New Roman"/>
      <w:sz w:val="28"/>
      <w:szCs w:val="30"/>
    </w:rPr>
  </w:style>
  <w:style w:type="character" w:customStyle="1" w:styleId="28">
    <w:name w:val="批注框文本 字符"/>
    <w:basedOn w:val="22"/>
    <w:link w:val="15"/>
    <w:qFormat/>
    <w:uiPriority w:val="0"/>
    <w:rPr>
      <w:kern w:val="2"/>
      <w:sz w:val="18"/>
      <w:szCs w:val="18"/>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
    <w:name w:val="纯文本 字符"/>
    <w:basedOn w:val="22"/>
    <w:link w:val="14"/>
    <w:qFormat/>
    <w:uiPriority w:val="99"/>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58</Pages>
  <Words>4854</Words>
  <Characters>27673</Characters>
  <Lines>230</Lines>
  <Paragraphs>64</Paragraphs>
  <TotalTime>67</TotalTime>
  <ScaleCrop>false</ScaleCrop>
  <LinksUpToDate>false</LinksUpToDate>
  <CharactersWithSpaces>32463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2023-12-01T01:57:00Z</dcterms:created>
  <dc:creator>19905</dc:creator>
  <cp:lastModifiedBy>Administrator</cp:lastModifiedBy>
  <dcterms:modified xsi:type="dcterms:W3CDTF">2023-12-06T08:21:49Z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BA74C560E636414C82B6EE3C19E15E09_13</vt:lpwstr>
  </property>
</Properties>
</file>